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633A0B6C" w:rsidR="00A160B2" w:rsidRDefault="00B84A87" w:rsidP="006C3150">
            <w:pPr>
              <w:pStyle w:val="Heading1"/>
              <w:outlineLvl w:val="0"/>
            </w:pPr>
            <w:r>
              <w:t>Pension Fund</w:t>
            </w:r>
            <w:r w:rsidR="00A160B2">
              <w:t xml:space="preserve"> Committee</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59067F3F" w:rsidR="00A160B2" w:rsidRDefault="00B84A87" w:rsidP="006C3150">
            <w:pPr>
              <w:pStyle w:val="Infotext"/>
              <w:rPr>
                <w:rFonts w:cs="Arial"/>
              </w:rPr>
            </w:pPr>
            <w:r>
              <w:rPr>
                <w:rFonts w:cs="Arial"/>
              </w:rPr>
              <w:t>24 June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086368E4" w:rsidR="00A160B2" w:rsidRDefault="00D7696B" w:rsidP="006C3150">
            <w:pPr>
              <w:pStyle w:val="Infotext"/>
              <w:rPr>
                <w:rFonts w:cs="Arial"/>
              </w:rPr>
            </w:pPr>
            <w:r>
              <w:rPr>
                <w:rFonts w:cs="Arial"/>
              </w:rPr>
              <w:t>Review of Internal Controls at Investment Managers</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3CF266C9" w14:textId="53498E79" w:rsidR="00A160B2" w:rsidRDefault="00014FD8" w:rsidP="006C3150">
            <w:pPr>
              <w:pStyle w:val="Infotext"/>
              <w:rPr>
                <w:rFonts w:cs="Arial"/>
              </w:rPr>
            </w:pPr>
            <w:r>
              <w:rPr>
                <w:rFonts w:cs="Arial"/>
              </w:rPr>
              <w:t xml:space="preserve">Dawn Calvert – Director of Finance and Assurance </w:t>
            </w:r>
          </w:p>
        </w:tc>
      </w:tr>
      <w:tr w:rsidR="00014FD8" w14:paraId="7AFCAE74" w14:textId="77777777" w:rsidTr="007855AE">
        <w:tc>
          <w:tcPr>
            <w:tcW w:w="3388" w:type="dxa"/>
          </w:tcPr>
          <w:p w14:paraId="4573497F" w14:textId="77777777" w:rsidR="00014FD8" w:rsidRPr="00F92398" w:rsidRDefault="00014FD8" w:rsidP="00014FD8">
            <w:pPr>
              <w:pStyle w:val="Infotext"/>
              <w:rPr>
                <w:rFonts w:ascii="Arial Black" w:hAnsi="Arial Black" w:cs="Arial"/>
              </w:rPr>
            </w:pPr>
            <w:r w:rsidRPr="00F92398">
              <w:rPr>
                <w:rFonts w:ascii="Arial Black" w:hAnsi="Arial Black" w:cs="Arial"/>
              </w:rPr>
              <w:t>Exempt:</w:t>
            </w:r>
          </w:p>
          <w:p w14:paraId="72D771B0" w14:textId="77777777" w:rsidR="00014FD8" w:rsidRPr="00F92398" w:rsidRDefault="00014FD8" w:rsidP="00014FD8">
            <w:pPr>
              <w:pStyle w:val="Infotext"/>
              <w:rPr>
                <w:rFonts w:ascii="Arial Black" w:hAnsi="Arial Black" w:cs="Arial"/>
              </w:rPr>
            </w:pPr>
          </w:p>
        </w:tc>
        <w:tc>
          <w:tcPr>
            <w:tcW w:w="4921" w:type="dxa"/>
          </w:tcPr>
          <w:p w14:paraId="6C988B72" w14:textId="105357BD" w:rsidR="00014FD8" w:rsidRPr="00E56213" w:rsidRDefault="00014FD8" w:rsidP="00014FD8">
            <w:pPr>
              <w:jc w:val="both"/>
              <w:rPr>
                <w:rFonts w:cs="Arial"/>
                <w:sz w:val="28"/>
                <w:szCs w:val="28"/>
              </w:rPr>
            </w:pPr>
            <w:r w:rsidRPr="00E56213">
              <w:rPr>
                <w:rFonts w:cs="Arial"/>
                <w:sz w:val="28"/>
                <w:szCs w:val="28"/>
              </w:rPr>
              <w:t xml:space="preserve">Yes – (Appendix </w:t>
            </w:r>
            <w:r>
              <w:rPr>
                <w:rFonts w:cs="Arial"/>
                <w:sz w:val="28"/>
                <w:szCs w:val="28"/>
              </w:rPr>
              <w:t xml:space="preserve">1 </w:t>
            </w:r>
            <w:r w:rsidRPr="00E56213">
              <w:rPr>
                <w:rFonts w:cs="Arial"/>
                <w:sz w:val="28"/>
                <w:szCs w:val="28"/>
              </w:rPr>
              <w:t>only) Exempt from publication under paragraph 3, Part 1 of Schedule 12A to the Local Government Act 1972 (as amended) as it contains information relating to the financial or business affairs of any particular</w:t>
            </w:r>
            <w:r>
              <w:rPr>
                <w:rFonts w:cs="Arial"/>
                <w:sz w:val="28"/>
                <w:szCs w:val="28"/>
              </w:rPr>
              <w:t xml:space="preserve"> </w:t>
            </w:r>
            <w:r w:rsidRPr="00E56213">
              <w:rPr>
                <w:rFonts w:cs="Arial"/>
                <w:sz w:val="28"/>
                <w:szCs w:val="28"/>
              </w:rPr>
              <w:t>person (including the authority holding that information)</w:t>
            </w:r>
          </w:p>
          <w:p w14:paraId="4C873B59" w14:textId="77777777" w:rsidR="00014FD8" w:rsidRDefault="00014FD8" w:rsidP="00014FD8">
            <w:pPr>
              <w:pStyle w:val="Infotext"/>
              <w:rPr>
                <w:rFonts w:cs="Arial"/>
              </w:rPr>
            </w:pPr>
          </w:p>
        </w:tc>
      </w:tr>
      <w:tr w:rsidR="00014FD8" w14:paraId="521D9222" w14:textId="77777777" w:rsidTr="007855AE">
        <w:tc>
          <w:tcPr>
            <w:tcW w:w="3388" w:type="dxa"/>
          </w:tcPr>
          <w:p w14:paraId="4ABD9246" w14:textId="77777777" w:rsidR="00014FD8" w:rsidRDefault="00014FD8" w:rsidP="00014FD8">
            <w:pPr>
              <w:pStyle w:val="Infotext"/>
              <w:rPr>
                <w:rFonts w:ascii="Arial Black" w:hAnsi="Arial Black" w:cs="Arial"/>
              </w:rPr>
            </w:pPr>
            <w:r>
              <w:rPr>
                <w:rFonts w:ascii="Arial Black" w:hAnsi="Arial Black" w:cs="Arial"/>
              </w:rPr>
              <w:t>Wards affected:</w:t>
            </w:r>
          </w:p>
          <w:p w14:paraId="65A16444" w14:textId="77777777" w:rsidR="00014FD8" w:rsidRPr="00F92398" w:rsidRDefault="00014FD8" w:rsidP="00014FD8">
            <w:pPr>
              <w:pStyle w:val="Infotext"/>
              <w:rPr>
                <w:rFonts w:ascii="Arial Black" w:hAnsi="Arial Black" w:cs="Arial"/>
              </w:rPr>
            </w:pPr>
          </w:p>
        </w:tc>
        <w:tc>
          <w:tcPr>
            <w:tcW w:w="4921" w:type="dxa"/>
          </w:tcPr>
          <w:p w14:paraId="7B906090" w14:textId="77777777" w:rsidR="00014FD8" w:rsidRDefault="00014FD8" w:rsidP="00014FD8">
            <w:pPr>
              <w:pStyle w:val="Infotext"/>
              <w:rPr>
                <w:rFonts w:cs="Arial"/>
                <w:szCs w:val="24"/>
              </w:rPr>
            </w:pPr>
            <w:r>
              <w:rPr>
                <w:rFonts w:cs="Arial"/>
                <w:szCs w:val="24"/>
              </w:rPr>
              <w:t>L</w:t>
            </w:r>
            <w:r w:rsidRPr="005E3A10">
              <w:rPr>
                <w:rFonts w:cs="Arial"/>
                <w:szCs w:val="24"/>
              </w:rPr>
              <w:t>ist Ward(s)</w:t>
            </w:r>
            <w:r>
              <w:rPr>
                <w:rFonts w:cs="Arial"/>
                <w:szCs w:val="24"/>
              </w:rPr>
              <w:t xml:space="preserve"> affected by decision.</w:t>
            </w:r>
          </w:p>
          <w:p w14:paraId="6CD568AC" w14:textId="206387E7" w:rsidR="00014FD8" w:rsidRPr="00014FD8" w:rsidRDefault="00014FD8" w:rsidP="00014FD8">
            <w:pPr>
              <w:pStyle w:val="Infotext"/>
              <w:rPr>
                <w:b/>
              </w:rPr>
            </w:pPr>
            <w:r w:rsidRPr="00014FD8">
              <w:rPr>
                <w:rFonts w:cs="Arial"/>
                <w:b/>
                <w:szCs w:val="24"/>
              </w:rPr>
              <w:t>None</w:t>
            </w:r>
          </w:p>
        </w:tc>
      </w:tr>
      <w:tr w:rsidR="00014FD8" w14:paraId="7C35C184" w14:textId="77777777" w:rsidTr="007855AE">
        <w:tc>
          <w:tcPr>
            <w:tcW w:w="3388" w:type="dxa"/>
          </w:tcPr>
          <w:p w14:paraId="537C01BC" w14:textId="77777777" w:rsidR="00014FD8" w:rsidRPr="00F92398" w:rsidRDefault="00014FD8" w:rsidP="00014FD8">
            <w:pPr>
              <w:pStyle w:val="Infotext"/>
              <w:rPr>
                <w:rFonts w:ascii="Arial Black" w:hAnsi="Arial Black" w:cs="Arial"/>
              </w:rPr>
            </w:pPr>
          </w:p>
          <w:p w14:paraId="575B6BE7" w14:textId="77777777" w:rsidR="00014FD8" w:rsidRPr="00F92398" w:rsidRDefault="00014FD8" w:rsidP="00014FD8">
            <w:pPr>
              <w:pStyle w:val="Infotext"/>
              <w:rPr>
                <w:rFonts w:ascii="Arial Black" w:hAnsi="Arial Black" w:cs="Arial"/>
              </w:rPr>
            </w:pPr>
            <w:r w:rsidRPr="00F92398">
              <w:rPr>
                <w:rFonts w:ascii="Arial Black" w:hAnsi="Arial Black" w:cs="Arial"/>
              </w:rPr>
              <w:t>Enclosures:</w:t>
            </w:r>
          </w:p>
          <w:p w14:paraId="69475841" w14:textId="77777777" w:rsidR="00014FD8" w:rsidRPr="00F92398" w:rsidRDefault="00014FD8" w:rsidP="00014FD8">
            <w:pPr>
              <w:pStyle w:val="Infotext"/>
              <w:rPr>
                <w:rFonts w:ascii="Arial Black" w:hAnsi="Arial Black" w:cs="Arial"/>
              </w:rPr>
            </w:pPr>
          </w:p>
        </w:tc>
        <w:tc>
          <w:tcPr>
            <w:tcW w:w="4921" w:type="dxa"/>
          </w:tcPr>
          <w:p w14:paraId="71119F8F" w14:textId="77777777" w:rsidR="00014FD8" w:rsidRDefault="00014FD8" w:rsidP="00014FD8">
            <w:pPr>
              <w:pStyle w:val="Infotext"/>
            </w:pPr>
          </w:p>
          <w:p w14:paraId="4C232B02" w14:textId="64983F0E" w:rsidR="00014FD8" w:rsidRDefault="00014FD8" w:rsidP="00014FD8">
            <w:pPr>
              <w:pStyle w:val="Infotext"/>
            </w:pPr>
            <w:r>
              <w:rPr>
                <w:rFonts w:cs="Arial"/>
                <w:szCs w:val="24"/>
              </w:rPr>
              <w:t xml:space="preserve">Exempt </w:t>
            </w:r>
            <w:r w:rsidRPr="002773EC">
              <w:rPr>
                <w:rFonts w:cs="Arial"/>
                <w:szCs w:val="24"/>
              </w:rPr>
              <w:t>Appendix</w:t>
            </w:r>
            <w:r>
              <w:rPr>
                <w:rFonts w:cs="Arial"/>
                <w:szCs w:val="24"/>
              </w:rPr>
              <w:t xml:space="preserve"> 1</w:t>
            </w:r>
            <w:r w:rsidRPr="002773EC">
              <w:rPr>
                <w:rFonts w:cs="Arial"/>
                <w:szCs w:val="24"/>
              </w:rPr>
              <w:t xml:space="preserve"> – Review of Internal Controls at </w:t>
            </w:r>
            <w:r>
              <w:rPr>
                <w:rFonts w:cs="Arial"/>
                <w:szCs w:val="24"/>
              </w:rPr>
              <w:t>Investment</w:t>
            </w:r>
            <w:r w:rsidRPr="002773EC">
              <w:rPr>
                <w:rFonts w:cs="Arial"/>
                <w:szCs w:val="24"/>
              </w:rPr>
              <w:t xml:space="preserve"> Managers</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7D74710E" w14:textId="3C515CA2" w:rsidR="00014FD8" w:rsidRDefault="00014FD8" w:rsidP="00A160B2">
            <w:pPr>
              <w:rPr>
                <w:rFonts w:cs="Arial"/>
                <w:szCs w:val="24"/>
              </w:rPr>
            </w:pPr>
            <w:r>
              <w:t>This report provides the Committee with a summary of</w:t>
            </w:r>
            <w:r w:rsidRPr="002773EC">
              <w:t xml:space="preserve"> the </w:t>
            </w:r>
            <w:r>
              <w:t xml:space="preserve">contents of the </w:t>
            </w:r>
            <w:r w:rsidRPr="002773EC">
              <w:t xml:space="preserve">latest internal controls reports </w:t>
            </w:r>
            <w:r>
              <w:t>for</w:t>
            </w:r>
            <w:r w:rsidRPr="002773EC">
              <w:t xml:space="preserve"> the Fund’s investment managers. </w:t>
            </w:r>
            <w:r w:rsidRPr="001B5D18">
              <w:rPr>
                <w:rFonts w:cs="Arial"/>
                <w:szCs w:val="24"/>
              </w:rPr>
              <w:t>The reports have been reviewed and show that controls are operating effectively and, where exceptions have been identified, that there has been a satisfactory management response.</w:t>
            </w:r>
            <w:r>
              <w:rPr>
                <w:rFonts w:cs="Arial"/>
                <w:szCs w:val="24"/>
              </w:rPr>
              <w:t xml:space="preserve"> </w:t>
            </w:r>
          </w:p>
          <w:p w14:paraId="7340A0C5" w14:textId="77777777" w:rsidR="00014FD8" w:rsidRDefault="00014FD8" w:rsidP="00A160B2">
            <w:pPr>
              <w:rPr>
                <w:rFonts w:cs="Arial"/>
                <w:b/>
                <w:szCs w:val="24"/>
              </w:rPr>
            </w:pPr>
          </w:p>
          <w:p w14:paraId="4F9D0A08" w14:textId="7722205E"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5696C692" w14:textId="5D31758D" w:rsidR="00A160B2" w:rsidRDefault="00A160B2" w:rsidP="00A160B2">
            <w:r>
              <w:t>The Committee is requested to</w:t>
            </w:r>
            <w:r w:rsidR="00014FD8">
              <w:t xml:space="preserve"> note the report.</w:t>
            </w:r>
          </w:p>
          <w:p w14:paraId="714CBDEE" w14:textId="7C0A618B" w:rsidR="00A160B2" w:rsidRDefault="00A160B2" w:rsidP="00A160B2">
            <w:r>
              <w:t xml:space="preserve"> </w:t>
            </w:r>
          </w:p>
        </w:tc>
      </w:tr>
    </w:tbl>
    <w:p w14:paraId="53DC7DE2" w14:textId="77777777" w:rsidR="002A2389" w:rsidRDefault="002A2389" w:rsidP="00A160B2">
      <w:pPr>
        <w:pStyle w:val="Heading2"/>
      </w:pPr>
      <w:r>
        <w:lastRenderedPageBreak/>
        <w:t>Section 2 – Report</w:t>
      </w:r>
    </w:p>
    <w:p w14:paraId="7299ED42" w14:textId="77777777" w:rsidR="00014FD8" w:rsidRPr="00094631" w:rsidRDefault="00014FD8" w:rsidP="00014FD8">
      <w:pPr>
        <w:jc w:val="both"/>
        <w:rPr>
          <w:rFonts w:cs="Arial"/>
          <w:szCs w:val="24"/>
        </w:rPr>
      </w:pPr>
    </w:p>
    <w:p w14:paraId="162FE6EE" w14:textId="77777777" w:rsidR="00014FD8" w:rsidRPr="00094631" w:rsidRDefault="00014FD8" w:rsidP="00014FD8">
      <w:pPr>
        <w:numPr>
          <w:ilvl w:val="0"/>
          <w:numId w:val="16"/>
        </w:numPr>
        <w:tabs>
          <w:tab w:val="num" w:pos="750"/>
        </w:tabs>
        <w:ind w:left="374" w:hanging="374"/>
        <w:jc w:val="both"/>
        <w:rPr>
          <w:rFonts w:cs="Arial"/>
          <w:szCs w:val="24"/>
        </w:rPr>
      </w:pPr>
      <w:r w:rsidRPr="00094631">
        <w:rPr>
          <w:rFonts w:cs="Arial"/>
          <w:szCs w:val="24"/>
        </w:rPr>
        <w:t>Operational controls of investment managers relate to the procedures in place to safeguard the Fund’s assets against loss through error or fraud and to ensure that client reporting is accurate.  Poor operational controls can also hamper the management of the assets leading to reduced returns or increased costs.  Should there be a lack of evidence that controls operated by investment managers are robust the continued appointment of the manager would be questionable.</w:t>
      </w:r>
    </w:p>
    <w:p w14:paraId="46BAE5F1" w14:textId="77777777" w:rsidR="00014FD8" w:rsidRPr="00094631" w:rsidRDefault="00014FD8" w:rsidP="00014FD8">
      <w:pPr>
        <w:ind w:left="720"/>
        <w:rPr>
          <w:rFonts w:cs="Arial"/>
          <w:szCs w:val="24"/>
        </w:rPr>
      </w:pPr>
    </w:p>
    <w:p w14:paraId="0B143235" w14:textId="77777777" w:rsidR="00014FD8" w:rsidRPr="00094631" w:rsidRDefault="00014FD8" w:rsidP="00014FD8">
      <w:pPr>
        <w:numPr>
          <w:ilvl w:val="0"/>
          <w:numId w:val="16"/>
        </w:numPr>
        <w:tabs>
          <w:tab w:val="num" w:pos="750"/>
        </w:tabs>
        <w:ind w:left="374" w:hanging="374"/>
        <w:jc w:val="both"/>
        <w:rPr>
          <w:rFonts w:cs="Arial"/>
          <w:szCs w:val="24"/>
        </w:rPr>
      </w:pPr>
      <w:r w:rsidRPr="00094631">
        <w:rPr>
          <w:rFonts w:cs="Arial"/>
          <w:szCs w:val="24"/>
        </w:rPr>
        <w:t xml:space="preserve">Each of The Fund’s investment managers prepares an annual report having regard to the International Standard on Assurance Engagements 3402 (ISAE 3402), issued by the International Auditing and Assurance Standards Board, the Technical Release AAF 01/06 (AAF 01/06), issued by the Institute of Chartered Accounts in England and Wales and the control objectives for their services and information technology. </w:t>
      </w:r>
    </w:p>
    <w:p w14:paraId="20D6E50F" w14:textId="77777777" w:rsidR="00014FD8" w:rsidRPr="00094631" w:rsidRDefault="00014FD8" w:rsidP="00014FD8">
      <w:pPr>
        <w:ind w:left="720"/>
        <w:rPr>
          <w:rFonts w:cs="Arial"/>
          <w:szCs w:val="24"/>
        </w:rPr>
      </w:pPr>
    </w:p>
    <w:p w14:paraId="6F1E4710" w14:textId="77777777" w:rsidR="00014FD8" w:rsidRPr="00094631" w:rsidRDefault="00014FD8" w:rsidP="00014FD8">
      <w:pPr>
        <w:numPr>
          <w:ilvl w:val="0"/>
          <w:numId w:val="16"/>
        </w:numPr>
        <w:tabs>
          <w:tab w:val="num" w:pos="750"/>
        </w:tabs>
        <w:ind w:left="374" w:hanging="374"/>
        <w:jc w:val="both"/>
        <w:rPr>
          <w:rFonts w:cs="Arial"/>
          <w:szCs w:val="24"/>
        </w:rPr>
      </w:pPr>
      <w:r w:rsidRPr="00094631">
        <w:rPr>
          <w:rFonts w:cs="Arial"/>
          <w:szCs w:val="24"/>
        </w:rPr>
        <w:t>Under these protocols the directors/partners of each manager prepare a report focussing on key environmental, business and process issues and make commitments along the following lines:</w:t>
      </w:r>
    </w:p>
    <w:p w14:paraId="7799301D" w14:textId="77777777" w:rsidR="00014FD8" w:rsidRPr="00094631" w:rsidRDefault="00014FD8" w:rsidP="00014FD8">
      <w:pPr>
        <w:ind w:left="720"/>
        <w:rPr>
          <w:rFonts w:cs="Arial"/>
          <w:szCs w:val="24"/>
        </w:rPr>
      </w:pPr>
    </w:p>
    <w:p w14:paraId="4AD7B9C0" w14:textId="77777777" w:rsidR="00014FD8" w:rsidRPr="00094631" w:rsidRDefault="00014FD8" w:rsidP="00014FD8">
      <w:pPr>
        <w:numPr>
          <w:ilvl w:val="0"/>
          <w:numId w:val="17"/>
        </w:numPr>
        <w:jc w:val="both"/>
        <w:rPr>
          <w:rFonts w:cs="Arial"/>
          <w:szCs w:val="24"/>
        </w:rPr>
      </w:pPr>
      <w:r w:rsidRPr="00094631">
        <w:rPr>
          <w:rFonts w:cs="Arial"/>
          <w:szCs w:val="24"/>
        </w:rPr>
        <w:t>the report describes fairly the control procedures that relate to their stated control objectives;</w:t>
      </w:r>
    </w:p>
    <w:p w14:paraId="50FDE645" w14:textId="77777777" w:rsidR="00014FD8" w:rsidRPr="00094631" w:rsidRDefault="00014FD8" w:rsidP="00014FD8">
      <w:pPr>
        <w:numPr>
          <w:ilvl w:val="0"/>
          <w:numId w:val="17"/>
        </w:numPr>
        <w:jc w:val="both"/>
        <w:rPr>
          <w:rFonts w:cs="Arial"/>
          <w:szCs w:val="24"/>
        </w:rPr>
      </w:pPr>
      <w:r w:rsidRPr="00094631">
        <w:rPr>
          <w:rFonts w:cs="Arial"/>
          <w:szCs w:val="24"/>
        </w:rPr>
        <w:t>the control procedures are suitably designed such that there is reasonable assurance that the specified control objectives would be achieved if the described control procedures were complied with satisfactorily; and</w:t>
      </w:r>
    </w:p>
    <w:p w14:paraId="3777D802" w14:textId="77777777" w:rsidR="00014FD8" w:rsidRPr="00094631" w:rsidRDefault="00014FD8" w:rsidP="00014FD8">
      <w:pPr>
        <w:numPr>
          <w:ilvl w:val="0"/>
          <w:numId w:val="17"/>
        </w:numPr>
        <w:jc w:val="both"/>
        <w:rPr>
          <w:rFonts w:cs="Arial"/>
          <w:szCs w:val="24"/>
        </w:rPr>
      </w:pPr>
      <w:r w:rsidRPr="00094631">
        <w:rPr>
          <w:rFonts w:cs="Arial"/>
          <w:szCs w:val="24"/>
        </w:rPr>
        <w:t>The control procedures described were operating with sufficient effectiveness to provide reasonable assurance that the related control objectives were achieved during the period specified.</w:t>
      </w:r>
    </w:p>
    <w:p w14:paraId="0BA690A2" w14:textId="77777777" w:rsidR="00014FD8" w:rsidRPr="00094631" w:rsidRDefault="00014FD8" w:rsidP="00014FD8">
      <w:pPr>
        <w:jc w:val="both"/>
        <w:rPr>
          <w:rFonts w:cs="Arial"/>
          <w:szCs w:val="24"/>
        </w:rPr>
      </w:pPr>
    </w:p>
    <w:p w14:paraId="10074A68" w14:textId="77777777" w:rsidR="00014FD8" w:rsidRPr="00094631" w:rsidRDefault="00014FD8" w:rsidP="00014FD8">
      <w:pPr>
        <w:numPr>
          <w:ilvl w:val="0"/>
          <w:numId w:val="16"/>
        </w:numPr>
        <w:tabs>
          <w:tab w:val="num" w:pos="426"/>
        </w:tabs>
        <w:ind w:left="426" w:hanging="426"/>
        <w:jc w:val="both"/>
        <w:rPr>
          <w:rFonts w:cs="Arial"/>
          <w:szCs w:val="24"/>
        </w:rPr>
      </w:pPr>
      <w:r w:rsidRPr="00094631">
        <w:rPr>
          <w:rFonts w:cs="Arial"/>
          <w:szCs w:val="24"/>
        </w:rPr>
        <w:t>Each of the managers has engaged a leading firm of auditors to report on the suitability of the design and operating effectiveness of the controls to achieve the related control objectives.</w:t>
      </w:r>
    </w:p>
    <w:p w14:paraId="02BE2A10" w14:textId="77777777" w:rsidR="00014FD8" w:rsidRPr="00094631" w:rsidRDefault="00014FD8" w:rsidP="00014FD8">
      <w:pPr>
        <w:jc w:val="both"/>
        <w:rPr>
          <w:rFonts w:cs="Arial"/>
          <w:szCs w:val="24"/>
        </w:rPr>
      </w:pPr>
    </w:p>
    <w:p w14:paraId="06A0AE24" w14:textId="78918DBE" w:rsidR="009874A4" w:rsidRDefault="00014FD8" w:rsidP="00014FD8">
      <w:pPr>
        <w:numPr>
          <w:ilvl w:val="0"/>
          <w:numId w:val="16"/>
        </w:numPr>
        <w:tabs>
          <w:tab w:val="num" w:pos="750"/>
        </w:tabs>
        <w:ind w:left="374" w:hanging="374"/>
        <w:jc w:val="both"/>
        <w:rPr>
          <w:rFonts w:cs="Arial"/>
          <w:szCs w:val="24"/>
        </w:rPr>
      </w:pPr>
      <w:r w:rsidRPr="00094631">
        <w:rPr>
          <w:rFonts w:cs="Arial"/>
          <w:szCs w:val="24"/>
        </w:rPr>
        <w:t>A summary of the findings from the most recent reviews is provided in Appendix</w:t>
      </w:r>
      <w:r>
        <w:rPr>
          <w:rFonts w:cs="Arial"/>
          <w:szCs w:val="24"/>
        </w:rPr>
        <w:t xml:space="preserve"> 1</w:t>
      </w:r>
      <w:r w:rsidRPr="00094631">
        <w:rPr>
          <w:rFonts w:cs="Arial"/>
          <w:szCs w:val="24"/>
        </w:rPr>
        <w:t xml:space="preserve">. </w:t>
      </w:r>
      <w:r w:rsidR="009874A4">
        <w:rPr>
          <w:rFonts w:cs="Arial"/>
          <w:szCs w:val="24"/>
        </w:rPr>
        <w:t>The reports and management responses indicate that each of the fund managers demonstrates appropriate levels of controls, and that where exceptions have been identified via testing, appropriate action has been taken to resolve the issue. Where the date of the most recent report is earlier than 31 March 2021, “bridging letters” have been provided by the managers confirming that the control environment was unchanged in the subsequent period.</w:t>
      </w:r>
    </w:p>
    <w:p w14:paraId="5D453E25" w14:textId="77777777" w:rsidR="009874A4" w:rsidRDefault="009874A4" w:rsidP="009874A4">
      <w:pPr>
        <w:pStyle w:val="ListParagraph"/>
        <w:rPr>
          <w:szCs w:val="24"/>
        </w:rPr>
      </w:pPr>
    </w:p>
    <w:p w14:paraId="546056B7" w14:textId="3186420D" w:rsidR="00014FD8" w:rsidRPr="00094631" w:rsidRDefault="00014FD8" w:rsidP="00014FD8">
      <w:pPr>
        <w:numPr>
          <w:ilvl w:val="0"/>
          <w:numId w:val="16"/>
        </w:numPr>
        <w:tabs>
          <w:tab w:val="num" w:pos="750"/>
        </w:tabs>
        <w:ind w:left="374" w:hanging="374"/>
        <w:jc w:val="both"/>
        <w:rPr>
          <w:rFonts w:cs="Arial"/>
          <w:szCs w:val="24"/>
        </w:rPr>
      </w:pPr>
      <w:r w:rsidRPr="00094631">
        <w:rPr>
          <w:rFonts w:cs="Arial"/>
          <w:szCs w:val="24"/>
        </w:rPr>
        <w:t xml:space="preserve">The key points from the findings in respect of the Fund’s managers are as follows: </w:t>
      </w:r>
    </w:p>
    <w:p w14:paraId="0EEB9F73" w14:textId="77777777" w:rsidR="00014FD8" w:rsidRPr="00094631" w:rsidRDefault="00014FD8" w:rsidP="00014FD8">
      <w:pPr>
        <w:jc w:val="both"/>
        <w:rPr>
          <w:rFonts w:cs="Arial"/>
          <w:szCs w:val="24"/>
        </w:rPr>
      </w:pPr>
    </w:p>
    <w:p w14:paraId="0050B7A7" w14:textId="77777777" w:rsidR="00014FD8" w:rsidRPr="00377A07" w:rsidRDefault="00014FD8" w:rsidP="00014FD8">
      <w:pPr>
        <w:spacing w:after="200"/>
        <w:ind w:left="426"/>
        <w:jc w:val="both"/>
        <w:rPr>
          <w:rFonts w:eastAsia="Calibri" w:cs="Arial"/>
          <w:b/>
          <w:szCs w:val="24"/>
        </w:rPr>
      </w:pPr>
      <w:r w:rsidRPr="00377A07">
        <w:rPr>
          <w:rFonts w:eastAsia="Calibri" w:cs="Arial"/>
          <w:b/>
          <w:szCs w:val="24"/>
        </w:rPr>
        <w:t>LaSalle Investment Management</w:t>
      </w:r>
    </w:p>
    <w:p w14:paraId="33A22FFA" w14:textId="69391F16" w:rsidR="00014FD8" w:rsidRPr="00377A07" w:rsidRDefault="00014FD8" w:rsidP="00014FD8">
      <w:pPr>
        <w:ind w:left="426"/>
        <w:jc w:val="both"/>
        <w:rPr>
          <w:rFonts w:cs="Arial"/>
          <w:szCs w:val="24"/>
        </w:rPr>
      </w:pPr>
      <w:r w:rsidRPr="00377A07">
        <w:rPr>
          <w:rFonts w:cs="Arial"/>
          <w:szCs w:val="24"/>
        </w:rPr>
        <w:t xml:space="preserve">The </w:t>
      </w:r>
      <w:r w:rsidR="00377A07">
        <w:rPr>
          <w:rFonts w:cs="Arial"/>
          <w:szCs w:val="24"/>
        </w:rPr>
        <w:t>most recent audit report, to 31 December 2019,</w:t>
      </w:r>
      <w:r w:rsidRPr="00377A07">
        <w:rPr>
          <w:rFonts w:cs="Arial"/>
          <w:szCs w:val="24"/>
        </w:rPr>
        <w:t xml:space="preserve"> carried out by Deloitte LLP, indicate</w:t>
      </w:r>
      <w:r w:rsidR="00377A07">
        <w:rPr>
          <w:rFonts w:cs="Arial"/>
          <w:szCs w:val="24"/>
        </w:rPr>
        <w:t>d</w:t>
      </w:r>
      <w:r w:rsidRPr="00377A07">
        <w:rPr>
          <w:rFonts w:cs="Arial"/>
          <w:szCs w:val="24"/>
        </w:rPr>
        <w:t xml:space="preserve"> that controls are operating effectively and, where exceptions have been identified, that there has been a satisfactory management </w:t>
      </w:r>
      <w:r w:rsidRPr="00377A07">
        <w:rPr>
          <w:rFonts w:cs="Arial"/>
          <w:szCs w:val="24"/>
        </w:rPr>
        <w:lastRenderedPageBreak/>
        <w:t xml:space="preserve">response. </w:t>
      </w:r>
      <w:r w:rsidR="00377A07">
        <w:rPr>
          <w:rFonts w:cs="Arial"/>
          <w:szCs w:val="24"/>
        </w:rPr>
        <w:t>This was reported to the Committee’s meeting in September 2</w:t>
      </w:r>
      <w:r w:rsidR="00FC5B57">
        <w:rPr>
          <w:rFonts w:cs="Arial"/>
          <w:szCs w:val="24"/>
        </w:rPr>
        <w:t xml:space="preserve">020. A bridging letter was provided covering the subsequent period. </w:t>
      </w:r>
    </w:p>
    <w:p w14:paraId="70174709" w14:textId="77777777" w:rsidR="00014FD8" w:rsidRPr="00014FD8" w:rsidRDefault="00014FD8" w:rsidP="00014FD8">
      <w:pPr>
        <w:ind w:left="426"/>
        <w:jc w:val="both"/>
        <w:rPr>
          <w:rFonts w:cs="Arial"/>
          <w:b/>
          <w:szCs w:val="24"/>
          <w:highlight w:val="yellow"/>
        </w:rPr>
      </w:pPr>
    </w:p>
    <w:p w14:paraId="480D1BDB" w14:textId="77777777" w:rsidR="00014FD8" w:rsidRPr="007272B0" w:rsidRDefault="00014FD8" w:rsidP="00014FD8">
      <w:pPr>
        <w:ind w:left="426"/>
        <w:jc w:val="both"/>
        <w:rPr>
          <w:rFonts w:cs="Arial"/>
          <w:b/>
          <w:szCs w:val="24"/>
        </w:rPr>
      </w:pPr>
      <w:r w:rsidRPr="007272B0">
        <w:rPr>
          <w:rFonts w:cs="Arial"/>
          <w:b/>
          <w:szCs w:val="24"/>
        </w:rPr>
        <w:t>BlackRock Inc.</w:t>
      </w:r>
    </w:p>
    <w:p w14:paraId="39F27681" w14:textId="77777777" w:rsidR="00014FD8" w:rsidRPr="007272B0" w:rsidRDefault="00014FD8" w:rsidP="00014FD8">
      <w:pPr>
        <w:ind w:left="426"/>
        <w:jc w:val="both"/>
        <w:rPr>
          <w:rFonts w:cs="Arial"/>
          <w:b/>
          <w:szCs w:val="24"/>
        </w:rPr>
      </w:pPr>
    </w:p>
    <w:p w14:paraId="25B8F374" w14:textId="77777777" w:rsidR="00014FD8" w:rsidRPr="007272B0" w:rsidRDefault="00014FD8" w:rsidP="00014FD8">
      <w:pPr>
        <w:ind w:left="426"/>
        <w:jc w:val="both"/>
        <w:rPr>
          <w:rFonts w:cs="Arial"/>
          <w:szCs w:val="24"/>
        </w:rPr>
      </w:pPr>
      <w:r w:rsidRPr="007272B0">
        <w:rPr>
          <w:rFonts w:cs="Arial"/>
          <w:szCs w:val="24"/>
        </w:rPr>
        <w:t xml:space="preserve">The audit, carried out by Deloitte and Touche LLP, indicates that controls are operating effectively and, where exceptions have been identified, that there has been a satisfactory management response. </w:t>
      </w:r>
    </w:p>
    <w:p w14:paraId="436072A5" w14:textId="77777777" w:rsidR="00014FD8" w:rsidRPr="00014FD8" w:rsidRDefault="00014FD8" w:rsidP="00014FD8">
      <w:pPr>
        <w:ind w:left="426"/>
        <w:jc w:val="both"/>
        <w:rPr>
          <w:rFonts w:cs="Arial"/>
          <w:szCs w:val="24"/>
          <w:highlight w:val="yellow"/>
        </w:rPr>
      </w:pPr>
    </w:p>
    <w:p w14:paraId="661B050C" w14:textId="77777777" w:rsidR="00014FD8" w:rsidRPr="00166023" w:rsidRDefault="00014FD8" w:rsidP="00014FD8">
      <w:pPr>
        <w:ind w:left="426"/>
        <w:jc w:val="both"/>
        <w:rPr>
          <w:rFonts w:cs="Arial"/>
          <w:b/>
          <w:szCs w:val="24"/>
        </w:rPr>
      </w:pPr>
      <w:r w:rsidRPr="00166023">
        <w:rPr>
          <w:rFonts w:cs="Arial"/>
          <w:b/>
          <w:szCs w:val="24"/>
        </w:rPr>
        <w:t>GMO</w:t>
      </w:r>
    </w:p>
    <w:p w14:paraId="359D86C9" w14:textId="77777777" w:rsidR="00014FD8" w:rsidRPr="00166023" w:rsidRDefault="00014FD8" w:rsidP="00014FD8">
      <w:pPr>
        <w:ind w:left="426"/>
        <w:jc w:val="both"/>
        <w:rPr>
          <w:rFonts w:cs="Arial"/>
          <w:b/>
          <w:szCs w:val="24"/>
        </w:rPr>
      </w:pPr>
    </w:p>
    <w:p w14:paraId="7748964C" w14:textId="77777777" w:rsidR="00014FD8" w:rsidRPr="00166023" w:rsidRDefault="00014FD8" w:rsidP="00014FD8">
      <w:pPr>
        <w:ind w:left="426"/>
        <w:jc w:val="both"/>
        <w:rPr>
          <w:rFonts w:cs="Arial"/>
          <w:szCs w:val="24"/>
        </w:rPr>
      </w:pPr>
      <w:r w:rsidRPr="00166023">
        <w:rPr>
          <w:rFonts w:cs="Arial"/>
          <w:szCs w:val="24"/>
        </w:rPr>
        <w:t xml:space="preserve">The audit, carried out by PricewaterhouseCoopers LLP, indicates that controls are operating effectively and, where exceptions have been identified, that there has been a satisfactory management response. </w:t>
      </w:r>
    </w:p>
    <w:p w14:paraId="36BAD42D" w14:textId="77777777" w:rsidR="00014FD8" w:rsidRPr="00014FD8" w:rsidRDefault="00014FD8" w:rsidP="00014FD8">
      <w:pPr>
        <w:ind w:left="426"/>
        <w:jc w:val="both"/>
        <w:rPr>
          <w:rFonts w:cs="Arial"/>
          <w:b/>
          <w:szCs w:val="24"/>
          <w:highlight w:val="yellow"/>
        </w:rPr>
      </w:pPr>
    </w:p>
    <w:p w14:paraId="386A91D9" w14:textId="77777777" w:rsidR="00014FD8" w:rsidRPr="00166023" w:rsidRDefault="00014FD8" w:rsidP="00014FD8">
      <w:pPr>
        <w:ind w:left="426"/>
        <w:jc w:val="both"/>
        <w:rPr>
          <w:rFonts w:cs="Arial"/>
          <w:b/>
          <w:szCs w:val="24"/>
        </w:rPr>
      </w:pPr>
      <w:r w:rsidRPr="00166023">
        <w:rPr>
          <w:rFonts w:cs="Arial"/>
          <w:b/>
          <w:szCs w:val="24"/>
        </w:rPr>
        <w:t>Insight Investment</w:t>
      </w:r>
    </w:p>
    <w:p w14:paraId="6B6A00F4" w14:textId="77777777" w:rsidR="00014FD8" w:rsidRPr="00166023" w:rsidRDefault="00014FD8" w:rsidP="00014FD8">
      <w:pPr>
        <w:ind w:left="426"/>
        <w:jc w:val="both"/>
        <w:rPr>
          <w:rFonts w:cs="Arial"/>
          <w:szCs w:val="24"/>
        </w:rPr>
      </w:pPr>
    </w:p>
    <w:p w14:paraId="5CB389A6" w14:textId="77777777" w:rsidR="00014FD8" w:rsidRPr="00166023" w:rsidRDefault="00014FD8" w:rsidP="00014FD8">
      <w:pPr>
        <w:ind w:left="426"/>
        <w:jc w:val="both"/>
        <w:rPr>
          <w:rFonts w:cs="Arial"/>
          <w:szCs w:val="24"/>
        </w:rPr>
      </w:pPr>
      <w:r w:rsidRPr="00166023">
        <w:rPr>
          <w:rFonts w:cs="Arial"/>
          <w:szCs w:val="24"/>
        </w:rPr>
        <w:t>The audit, carried out by KPMG LLP, indicates that controls are operating effectively and, where exceptions have been identified, that there has been a satisfactory management response.</w:t>
      </w:r>
    </w:p>
    <w:p w14:paraId="6EB48CA1" w14:textId="77777777" w:rsidR="00014FD8" w:rsidRPr="00166023" w:rsidRDefault="00014FD8" w:rsidP="00014FD8">
      <w:pPr>
        <w:ind w:left="426"/>
        <w:jc w:val="both"/>
        <w:rPr>
          <w:rFonts w:cs="Arial"/>
          <w:b/>
          <w:szCs w:val="24"/>
        </w:rPr>
      </w:pPr>
    </w:p>
    <w:p w14:paraId="1F83E8D6" w14:textId="77777777" w:rsidR="00014FD8" w:rsidRPr="00166023" w:rsidRDefault="00014FD8" w:rsidP="00014FD8">
      <w:pPr>
        <w:ind w:left="426"/>
        <w:jc w:val="both"/>
        <w:rPr>
          <w:rFonts w:cs="Arial"/>
          <w:b/>
          <w:szCs w:val="24"/>
        </w:rPr>
      </w:pPr>
      <w:r w:rsidRPr="00166023">
        <w:rPr>
          <w:rFonts w:cs="Arial"/>
          <w:b/>
          <w:szCs w:val="24"/>
        </w:rPr>
        <w:t>Oldfield Partners LLP</w:t>
      </w:r>
    </w:p>
    <w:p w14:paraId="22882665" w14:textId="77777777" w:rsidR="00014FD8" w:rsidRPr="00166023" w:rsidRDefault="00014FD8" w:rsidP="00014FD8">
      <w:pPr>
        <w:ind w:left="426"/>
        <w:jc w:val="both"/>
        <w:rPr>
          <w:rFonts w:cs="Arial"/>
          <w:b/>
          <w:szCs w:val="24"/>
        </w:rPr>
      </w:pPr>
    </w:p>
    <w:p w14:paraId="5C35C390" w14:textId="560AAA30" w:rsidR="00014FD8" w:rsidRPr="00166023" w:rsidRDefault="00014FD8" w:rsidP="00014FD8">
      <w:pPr>
        <w:ind w:left="426"/>
        <w:jc w:val="both"/>
        <w:rPr>
          <w:rFonts w:cs="Arial"/>
          <w:szCs w:val="24"/>
        </w:rPr>
      </w:pPr>
      <w:r w:rsidRPr="00166023">
        <w:rPr>
          <w:rFonts w:cs="Arial"/>
          <w:szCs w:val="24"/>
        </w:rPr>
        <w:t xml:space="preserve">The </w:t>
      </w:r>
      <w:r w:rsidR="0022043F">
        <w:rPr>
          <w:rFonts w:cs="Arial"/>
          <w:szCs w:val="24"/>
        </w:rPr>
        <w:t xml:space="preserve">most recent </w:t>
      </w:r>
      <w:r w:rsidRPr="00166023">
        <w:rPr>
          <w:rFonts w:cs="Arial"/>
          <w:szCs w:val="24"/>
        </w:rPr>
        <w:t>audit</w:t>
      </w:r>
      <w:r w:rsidR="0022043F">
        <w:rPr>
          <w:rFonts w:cs="Arial"/>
          <w:szCs w:val="24"/>
        </w:rPr>
        <w:t xml:space="preserve"> report</w:t>
      </w:r>
      <w:r w:rsidRPr="00166023">
        <w:rPr>
          <w:rFonts w:cs="Arial"/>
          <w:szCs w:val="24"/>
        </w:rPr>
        <w:t>, carried out by Deloitte LLP,</w:t>
      </w:r>
      <w:r w:rsidR="0022043F">
        <w:rPr>
          <w:rFonts w:cs="Arial"/>
          <w:szCs w:val="24"/>
        </w:rPr>
        <w:t xml:space="preserve"> covers the period to 30 June 2019. It</w:t>
      </w:r>
      <w:r w:rsidRPr="00166023">
        <w:rPr>
          <w:rFonts w:cs="Arial"/>
          <w:szCs w:val="24"/>
        </w:rPr>
        <w:t xml:space="preserve"> indicate</w:t>
      </w:r>
      <w:r w:rsidR="0022043F">
        <w:rPr>
          <w:rFonts w:cs="Arial"/>
          <w:szCs w:val="24"/>
        </w:rPr>
        <w:t>d</w:t>
      </w:r>
      <w:r w:rsidRPr="00166023">
        <w:rPr>
          <w:rFonts w:cs="Arial"/>
          <w:szCs w:val="24"/>
        </w:rPr>
        <w:t xml:space="preserve"> that controls are operating effectively and, where exceptions have been identified, that there has been a satisfactory management response.</w:t>
      </w:r>
      <w:r w:rsidR="0022043F">
        <w:rPr>
          <w:rFonts w:cs="Arial"/>
          <w:szCs w:val="24"/>
        </w:rPr>
        <w:t xml:space="preserve"> This was reported to the Committee’s meeting in September 2020. A bridging letter was provided covering the subsequent period. The Fund no longer hold</w:t>
      </w:r>
      <w:r w:rsidR="009874A4">
        <w:rPr>
          <w:rFonts w:cs="Arial"/>
          <w:szCs w:val="24"/>
        </w:rPr>
        <w:t>s</w:t>
      </w:r>
      <w:r w:rsidR="0022043F">
        <w:rPr>
          <w:rFonts w:cs="Arial"/>
          <w:szCs w:val="24"/>
        </w:rPr>
        <w:t xml:space="preserve"> investments with Oldfield Partners, having redeemed them in the first quarter of 2021. </w:t>
      </w:r>
    </w:p>
    <w:p w14:paraId="159C411C" w14:textId="77777777" w:rsidR="00014FD8" w:rsidRPr="00014FD8" w:rsidRDefault="00014FD8" w:rsidP="00014FD8">
      <w:pPr>
        <w:ind w:left="426"/>
        <w:jc w:val="both"/>
        <w:rPr>
          <w:rFonts w:cs="Arial"/>
          <w:b/>
          <w:szCs w:val="24"/>
          <w:highlight w:val="yellow"/>
        </w:rPr>
      </w:pPr>
    </w:p>
    <w:p w14:paraId="267A81D3" w14:textId="77777777" w:rsidR="00014FD8" w:rsidRPr="00021DCF" w:rsidRDefault="00014FD8" w:rsidP="00014FD8">
      <w:pPr>
        <w:ind w:left="426"/>
        <w:jc w:val="both"/>
        <w:rPr>
          <w:rFonts w:cs="Arial"/>
          <w:b/>
          <w:szCs w:val="24"/>
        </w:rPr>
      </w:pPr>
      <w:r w:rsidRPr="00021DCF">
        <w:rPr>
          <w:rFonts w:cs="Arial"/>
          <w:b/>
          <w:szCs w:val="24"/>
        </w:rPr>
        <w:t xml:space="preserve">Pantheon </w:t>
      </w:r>
    </w:p>
    <w:p w14:paraId="44D34D66" w14:textId="77777777" w:rsidR="00014FD8" w:rsidRPr="00021DCF" w:rsidRDefault="00014FD8" w:rsidP="00014FD8">
      <w:pPr>
        <w:ind w:left="426"/>
        <w:jc w:val="both"/>
        <w:rPr>
          <w:rFonts w:cs="Arial"/>
          <w:b/>
          <w:szCs w:val="24"/>
        </w:rPr>
      </w:pPr>
    </w:p>
    <w:p w14:paraId="1F2E069D" w14:textId="07D1D9D9" w:rsidR="00014FD8" w:rsidRPr="00021DCF" w:rsidRDefault="00014FD8" w:rsidP="00021DCF">
      <w:pPr>
        <w:ind w:left="426"/>
        <w:jc w:val="both"/>
        <w:rPr>
          <w:rFonts w:cs="Arial"/>
          <w:szCs w:val="24"/>
        </w:rPr>
      </w:pPr>
      <w:r w:rsidRPr="00021DCF">
        <w:rPr>
          <w:rFonts w:cs="Arial"/>
          <w:szCs w:val="24"/>
        </w:rPr>
        <w:t xml:space="preserve">The </w:t>
      </w:r>
      <w:r w:rsidR="00B0075D" w:rsidRPr="00021DCF">
        <w:rPr>
          <w:rFonts w:cs="Arial"/>
          <w:szCs w:val="24"/>
        </w:rPr>
        <w:t xml:space="preserve">last report received, </w:t>
      </w:r>
      <w:r w:rsidR="00021DCF" w:rsidRPr="00021DCF">
        <w:rPr>
          <w:rFonts w:cs="Arial"/>
          <w:szCs w:val="24"/>
        </w:rPr>
        <w:t xml:space="preserve">covering the </w:t>
      </w:r>
      <w:r w:rsidRPr="00021DCF">
        <w:rPr>
          <w:rFonts w:cs="Arial"/>
          <w:szCs w:val="24"/>
        </w:rPr>
        <w:t>audit</w:t>
      </w:r>
      <w:r w:rsidR="00021DCF" w:rsidRPr="00021DCF">
        <w:rPr>
          <w:rFonts w:cs="Arial"/>
          <w:szCs w:val="24"/>
        </w:rPr>
        <w:t xml:space="preserve"> of the period to 30 September 2019</w:t>
      </w:r>
      <w:r w:rsidRPr="00021DCF">
        <w:rPr>
          <w:rFonts w:cs="Arial"/>
          <w:szCs w:val="24"/>
        </w:rPr>
        <w:t>, carried out by KPMG LLP, indicate</w:t>
      </w:r>
      <w:r w:rsidR="00021DCF" w:rsidRPr="00021DCF">
        <w:rPr>
          <w:rFonts w:cs="Arial"/>
          <w:szCs w:val="24"/>
        </w:rPr>
        <w:t>d</w:t>
      </w:r>
      <w:r w:rsidRPr="00021DCF">
        <w:rPr>
          <w:rFonts w:cs="Arial"/>
          <w:szCs w:val="24"/>
        </w:rPr>
        <w:t xml:space="preserve"> that controls </w:t>
      </w:r>
      <w:r w:rsidR="00021DCF" w:rsidRPr="00021DCF">
        <w:rPr>
          <w:rFonts w:cs="Arial"/>
          <w:szCs w:val="24"/>
        </w:rPr>
        <w:t>we</w:t>
      </w:r>
      <w:r w:rsidRPr="00021DCF">
        <w:rPr>
          <w:rFonts w:cs="Arial"/>
          <w:szCs w:val="24"/>
        </w:rPr>
        <w:t>re operating effectively and, where exceptions have been identified, that there ha</w:t>
      </w:r>
      <w:r w:rsidR="00021DCF" w:rsidRPr="00021DCF">
        <w:rPr>
          <w:rFonts w:cs="Arial"/>
          <w:szCs w:val="24"/>
        </w:rPr>
        <w:t>d</w:t>
      </w:r>
      <w:r w:rsidRPr="00021DCF">
        <w:rPr>
          <w:rFonts w:cs="Arial"/>
          <w:szCs w:val="24"/>
        </w:rPr>
        <w:t xml:space="preserve"> been a satisfactory management response.</w:t>
      </w:r>
      <w:r w:rsidR="00021DCF" w:rsidRPr="00021DCF">
        <w:rPr>
          <w:rFonts w:cs="Arial"/>
          <w:szCs w:val="24"/>
        </w:rPr>
        <w:t xml:space="preserve"> This was reported to the Committee in September 2020.</w:t>
      </w:r>
    </w:p>
    <w:p w14:paraId="788D0612" w14:textId="226A1269" w:rsidR="00021DCF" w:rsidRPr="00021DCF" w:rsidRDefault="00021DCF" w:rsidP="00021DCF">
      <w:pPr>
        <w:ind w:left="426"/>
        <w:jc w:val="both"/>
        <w:rPr>
          <w:rFonts w:cs="Arial"/>
          <w:szCs w:val="24"/>
        </w:rPr>
      </w:pPr>
      <w:r w:rsidRPr="00021DCF">
        <w:rPr>
          <w:rFonts w:cs="Arial"/>
          <w:szCs w:val="24"/>
        </w:rPr>
        <w:t xml:space="preserve">The latest report is awaited. </w:t>
      </w:r>
    </w:p>
    <w:p w14:paraId="34F01FE6" w14:textId="77777777" w:rsidR="00021DCF" w:rsidRPr="00021DCF" w:rsidRDefault="00021DCF" w:rsidP="00021DCF">
      <w:pPr>
        <w:ind w:left="426"/>
        <w:jc w:val="both"/>
        <w:rPr>
          <w:rFonts w:cs="Arial"/>
          <w:szCs w:val="24"/>
        </w:rPr>
      </w:pPr>
    </w:p>
    <w:p w14:paraId="43C0813D" w14:textId="77777777" w:rsidR="00014FD8" w:rsidRPr="00021DCF" w:rsidRDefault="00014FD8" w:rsidP="00014FD8">
      <w:pPr>
        <w:ind w:left="426"/>
        <w:jc w:val="both"/>
        <w:rPr>
          <w:rFonts w:cs="Arial"/>
          <w:b/>
          <w:szCs w:val="24"/>
        </w:rPr>
      </w:pPr>
      <w:r w:rsidRPr="00021DCF">
        <w:rPr>
          <w:rFonts w:cs="Arial"/>
          <w:b/>
          <w:szCs w:val="24"/>
        </w:rPr>
        <w:t>Record Currency Management Ltd</w:t>
      </w:r>
    </w:p>
    <w:p w14:paraId="4B2AD095" w14:textId="77777777" w:rsidR="00014FD8" w:rsidRPr="00021DCF" w:rsidRDefault="00014FD8" w:rsidP="00014FD8">
      <w:pPr>
        <w:ind w:left="426"/>
        <w:jc w:val="both"/>
        <w:rPr>
          <w:rFonts w:cs="Arial"/>
          <w:b/>
          <w:szCs w:val="24"/>
        </w:rPr>
      </w:pPr>
    </w:p>
    <w:p w14:paraId="02C40A79" w14:textId="77777777" w:rsidR="00021DCF" w:rsidRPr="00021DCF" w:rsidRDefault="00014FD8" w:rsidP="00021DCF">
      <w:pPr>
        <w:ind w:left="426"/>
        <w:jc w:val="both"/>
        <w:rPr>
          <w:rFonts w:cs="Arial"/>
          <w:szCs w:val="24"/>
        </w:rPr>
      </w:pPr>
      <w:r w:rsidRPr="00021DCF">
        <w:rPr>
          <w:rFonts w:cs="Arial"/>
          <w:szCs w:val="24"/>
        </w:rPr>
        <w:t>The</w:t>
      </w:r>
      <w:r w:rsidR="00021DCF" w:rsidRPr="00021DCF">
        <w:rPr>
          <w:rFonts w:cs="Arial"/>
          <w:szCs w:val="24"/>
        </w:rPr>
        <w:t xml:space="preserve"> last report received, covering the audit of the period to 31 March 2020, </w:t>
      </w:r>
      <w:r w:rsidRPr="00021DCF">
        <w:rPr>
          <w:rFonts w:cs="Arial"/>
          <w:szCs w:val="24"/>
        </w:rPr>
        <w:t xml:space="preserve"> carried out by </w:t>
      </w:r>
      <w:r w:rsidRPr="00021DCF">
        <w:rPr>
          <w:rFonts w:eastAsia="Calibri" w:cs="Arial"/>
          <w:szCs w:val="24"/>
        </w:rPr>
        <w:t>RSM Risk Assurance Services LLP</w:t>
      </w:r>
      <w:r w:rsidRPr="00021DCF">
        <w:rPr>
          <w:rFonts w:cs="Arial"/>
          <w:szCs w:val="24"/>
        </w:rPr>
        <w:t>, indicate</w:t>
      </w:r>
      <w:r w:rsidR="00021DCF" w:rsidRPr="00021DCF">
        <w:rPr>
          <w:rFonts w:cs="Arial"/>
          <w:szCs w:val="24"/>
        </w:rPr>
        <w:t>d</w:t>
      </w:r>
      <w:r w:rsidRPr="00021DCF">
        <w:rPr>
          <w:rFonts w:cs="Arial"/>
          <w:szCs w:val="24"/>
        </w:rPr>
        <w:t xml:space="preserve"> that controls </w:t>
      </w:r>
      <w:r w:rsidR="00021DCF" w:rsidRPr="00021DCF">
        <w:rPr>
          <w:rFonts w:cs="Arial"/>
          <w:szCs w:val="24"/>
        </w:rPr>
        <w:t>we</w:t>
      </w:r>
      <w:r w:rsidRPr="00021DCF">
        <w:rPr>
          <w:rFonts w:cs="Arial"/>
          <w:szCs w:val="24"/>
        </w:rPr>
        <w:t>re operating effectively and, where exceptions have been identified, that there ha</w:t>
      </w:r>
      <w:r w:rsidR="00021DCF" w:rsidRPr="00021DCF">
        <w:rPr>
          <w:rFonts w:cs="Arial"/>
          <w:szCs w:val="24"/>
        </w:rPr>
        <w:t>d</w:t>
      </w:r>
      <w:r w:rsidRPr="00021DCF">
        <w:rPr>
          <w:rFonts w:cs="Arial"/>
          <w:szCs w:val="24"/>
        </w:rPr>
        <w:t xml:space="preserve"> been a satisfactory management response. </w:t>
      </w:r>
      <w:r w:rsidR="00021DCF" w:rsidRPr="00021DCF">
        <w:rPr>
          <w:rFonts w:cs="Arial"/>
          <w:szCs w:val="24"/>
        </w:rPr>
        <w:t xml:space="preserve"> This was reported to the Committee in September 2020.</w:t>
      </w:r>
    </w:p>
    <w:p w14:paraId="660EB111" w14:textId="77777777" w:rsidR="00021DCF" w:rsidRPr="00021DCF" w:rsidRDefault="00021DCF" w:rsidP="00021DCF">
      <w:pPr>
        <w:ind w:left="426"/>
        <w:jc w:val="both"/>
        <w:rPr>
          <w:rFonts w:cs="Arial"/>
          <w:szCs w:val="24"/>
        </w:rPr>
      </w:pPr>
      <w:r w:rsidRPr="00021DCF">
        <w:rPr>
          <w:rFonts w:cs="Arial"/>
          <w:szCs w:val="24"/>
        </w:rPr>
        <w:t xml:space="preserve">The latest report is awaited. </w:t>
      </w:r>
    </w:p>
    <w:p w14:paraId="02EE0113" w14:textId="77777777" w:rsidR="00014FD8" w:rsidRPr="00014FD8" w:rsidRDefault="00014FD8" w:rsidP="00014FD8">
      <w:pPr>
        <w:ind w:left="426"/>
        <w:jc w:val="both"/>
        <w:rPr>
          <w:rFonts w:cs="Arial"/>
          <w:szCs w:val="24"/>
          <w:highlight w:val="yellow"/>
        </w:rPr>
      </w:pPr>
    </w:p>
    <w:p w14:paraId="7FABF669" w14:textId="77777777" w:rsidR="00014FD8" w:rsidRPr="00CF672F" w:rsidRDefault="00014FD8" w:rsidP="00014FD8">
      <w:pPr>
        <w:ind w:left="426"/>
        <w:outlineLvl w:val="1"/>
        <w:rPr>
          <w:rFonts w:cs="Arial"/>
          <w:b/>
          <w:bCs/>
          <w:szCs w:val="24"/>
        </w:rPr>
      </w:pPr>
      <w:r w:rsidRPr="00CF672F">
        <w:rPr>
          <w:rFonts w:cs="Arial"/>
          <w:b/>
          <w:bCs/>
          <w:szCs w:val="24"/>
        </w:rPr>
        <w:t>London CIV</w:t>
      </w:r>
    </w:p>
    <w:p w14:paraId="0319296A" w14:textId="77777777" w:rsidR="00014FD8" w:rsidRPr="00CF672F" w:rsidRDefault="00014FD8" w:rsidP="00014FD8">
      <w:pPr>
        <w:ind w:left="426"/>
        <w:outlineLvl w:val="1"/>
        <w:rPr>
          <w:rFonts w:cs="Arial"/>
          <w:b/>
          <w:bCs/>
          <w:szCs w:val="24"/>
        </w:rPr>
      </w:pPr>
      <w:r w:rsidRPr="00CF672F">
        <w:rPr>
          <w:rFonts w:cs="Arial"/>
          <w:b/>
          <w:bCs/>
          <w:szCs w:val="24"/>
        </w:rPr>
        <w:t xml:space="preserve"> </w:t>
      </w:r>
      <w:r w:rsidRPr="00CF672F">
        <w:rPr>
          <w:rFonts w:cs="Arial"/>
          <w:b/>
          <w:bCs/>
          <w:szCs w:val="24"/>
        </w:rPr>
        <w:tab/>
      </w:r>
      <w:r w:rsidRPr="00CF672F">
        <w:rPr>
          <w:rFonts w:cs="Arial"/>
          <w:b/>
          <w:bCs/>
          <w:szCs w:val="24"/>
        </w:rPr>
        <w:tab/>
      </w:r>
    </w:p>
    <w:p w14:paraId="77567716" w14:textId="77777777" w:rsidR="00014FD8" w:rsidRPr="00CF672F" w:rsidRDefault="00014FD8" w:rsidP="00014FD8">
      <w:pPr>
        <w:ind w:left="426"/>
        <w:outlineLvl w:val="1"/>
        <w:rPr>
          <w:rFonts w:cs="Arial"/>
          <w:bCs/>
          <w:szCs w:val="24"/>
        </w:rPr>
      </w:pPr>
      <w:r w:rsidRPr="00CF672F">
        <w:rPr>
          <w:rFonts w:cs="Arial"/>
          <w:bCs/>
          <w:szCs w:val="24"/>
        </w:rPr>
        <w:t xml:space="preserve">LCIV have provided an internal control assurance report on the sub-funds held by the Pension Fund, as follows </w:t>
      </w:r>
    </w:p>
    <w:p w14:paraId="4B236DF2" w14:textId="6925CC60" w:rsidR="00014FD8" w:rsidRPr="00CF672F" w:rsidRDefault="00014FD8" w:rsidP="00014FD8">
      <w:pPr>
        <w:numPr>
          <w:ilvl w:val="0"/>
          <w:numId w:val="18"/>
        </w:numPr>
        <w:ind w:left="993" w:hanging="284"/>
        <w:jc w:val="both"/>
        <w:outlineLvl w:val="1"/>
        <w:rPr>
          <w:rFonts w:cs="Arial"/>
          <w:bCs/>
          <w:szCs w:val="24"/>
        </w:rPr>
      </w:pPr>
      <w:r w:rsidRPr="00CF672F">
        <w:rPr>
          <w:rFonts w:cs="Arial"/>
          <w:bCs/>
          <w:szCs w:val="24"/>
        </w:rPr>
        <w:lastRenderedPageBreak/>
        <w:t xml:space="preserve">LCIV Multi Asset Credit Fund – the </w:t>
      </w:r>
      <w:r w:rsidR="00377A07">
        <w:rPr>
          <w:rFonts w:cs="Arial"/>
          <w:bCs/>
          <w:szCs w:val="24"/>
        </w:rPr>
        <w:t xml:space="preserve">last audit, </w:t>
      </w:r>
      <w:r w:rsidRPr="00CF672F">
        <w:rPr>
          <w:rFonts w:cs="Arial"/>
          <w:bCs/>
          <w:szCs w:val="24"/>
        </w:rPr>
        <w:t xml:space="preserve">carried out by Deloitte &amp; Touche LLP, </w:t>
      </w:r>
      <w:r w:rsidR="00377A07">
        <w:rPr>
          <w:rFonts w:cs="Arial"/>
          <w:bCs/>
          <w:szCs w:val="24"/>
        </w:rPr>
        <w:t xml:space="preserve">for the period to 31/12/2019, </w:t>
      </w:r>
      <w:r w:rsidRPr="00CF672F">
        <w:rPr>
          <w:rFonts w:cs="Arial"/>
          <w:bCs/>
          <w:szCs w:val="24"/>
        </w:rPr>
        <w:t xml:space="preserve">indicates that controls are operating effectively, </w:t>
      </w:r>
      <w:r w:rsidRPr="00CF672F">
        <w:rPr>
          <w:rFonts w:cs="Arial"/>
          <w:szCs w:val="24"/>
        </w:rPr>
        <w:t>and, where exceptions have been identified, that there has been a satisfactory management response.</w:t>
      </w:r>
      <w:r w:rsidR="00377A07">
        <w:rPr>
          <w:rFonts w:cs="Arial"/>
          <w:szCs w:val="24"/>
        </w:rPr>
        <w:t xml:space="preserve"> A bridging letter covering the period to 31 march 2021 was provided by CQS. </w:t>
      </w:r>
    </w:p>
    <w:p w14:paraId="293DBD80" w14:textId="7407D27D" w:rsidR="00014FD8" w:rsidRPr="00CF672F" w:rsidRDefault="00014FD8" w:rsidP="00014FD8">
      <w:pPr>
        <w:numPr>
          <w:ilvl w:val="0"/>
          <w:numId w:val="18"/>
        </w:numPr>
        <w:ind w:left="993" w:hanging="284"/>
        <w:jc w:val="both"/>
        <w:outlineLvl w:val="1"/>
        <w:rPr>
          <w:rFonts w:cs="Arial"/>
          <w:bCs/>
          <w:szCs w:val="24"/>
        </w:rPr>
      </w:pPr>
      <w:r w:rsidRPr="00CF672F">
        <w:rPr>
          <w:rFonts w:cs="Arial"/>
          <w:szCs w:val="24"/>
        </w:rPr>
        <w:t>LCIV Global Equity Focus Fund – the audit, carried out by EY, and, where exceptions have been identified, that there has been a satisfactory management response.</w:t>
      </w:r>
    </w:p>
    <w:p w14:paraId="5D38755D" w14:textId="77777777" w:rsidR="00CF672F" w:rsidRPr="00CF672F" w:rsidRDefault="00CF672F" w:rsidP="00CF672F">
      <w:pPr>
        <w:numPr>
          <w:ilvl w:val="0"/>
          <w:numId w:val="18"/>
        </w:numPr>
        <w:ind w:left="993" w:hanging="284"/>
        <w:jc w:val="both"/>
        <w:outlineLvl w:val="1"/>
        <w:rPr>
          <w:rFonts w:cs="Arial"/>
          <w:bCs/>
          <w:szCs w:val="24"/>
        </w:rPr>
      </w:pPr>
      <w:r>
        <w:rPr>
          <w:rFonts w:cs="Arial"/>
          <w:szCs w:val="24"/>
        </w:rPr>
        <w:t xml:space="preserve">LCIV Sustainable Equity Fund – the audit, carried out by PWC, </w:t>
      </w:r>
      <w:r w:rsidRPr="00CF672F">
        <w:rPr>
          <w:rFonts w:cs="Arial"/>
          <w:bCs/>
          <w:szCs w:val="24"/>
        </w:rPr>
        <w:t xml:space="preserve">indicates that controls are operating effectively, </w:t>
      </w:r>
      <w:r w:rsidRPr="00CF672F">
        <w:rPr>
          <w:rFonts w:cs="Arial"/>
          <w:szCs w:val="24"/>
        </w:rPr>
        <w:t>and, where exceptions have been identified, that there has been a satisfactory management response.</w:t>
      </w:r>
    </w:p>
    <w:p w14:paraId="409B9025" w14:textId="055468C9" w:rsidR="00014FD8" w:rsidRPr="00CF672F" w:rsidRDefault="00014FD8" w:rsidP="00014FD8">
      <w:pPr>
        <w:numPr>
          <w:ilvl w:val="0"/>
          <w:numId w:val="18"/>
        </w:numPr>
        <w:ind w:left="993" w:hanging="284"/>
        <w:jc w:val="both"/>
        <w:outlineLvl w:val="1"/>
        <w:rPr>
          <w:rFonts w:cs="Arial"/>
          <w:bCs/>
          <w:szCs w:val="24"/>
        </w:rPr>
      </w:pPr>
      <w:r w:rsidRPr="00CF672F">
        <w:rPr>
          <w:rFonts w:cs="Arial"/>
          <w:szCs w:val="24"/>
        </w:rPr>
        <w:t>LCIV Infrastructure Fund - the audit, carried out by EY, and, where exceptions have been identified, that there has been a satisfactory management response.</w:t>
      </w:r>
    </w:p>
    <w:p w14:paraId="12448D29" w14:textId="36378445" w:rsidR="00D6190B" w:rsidRPr="00021DCF" w:rsidRDefault="00377A07" w:rsidP="00377A07">
      <w:pPr>
        <w:numPr>
          <w:ilvl w:val="0"/>
          <w:numId w:val="18"/>
        </w:numPr>
        <w:ind w:left="993" w:hanging="284"/>
        <w:jc w:val="both"/>
        <w:outlineLvl w:val="1"/>
        <w:rPr>
          <w:rFonts w:cs="Arial"/>
          <w:bCs/>
          <w:szCs w:val="24"/>
        </w:rPr>
      </w:pPr>
      <w:r w:rsidRPr="00021DCF">
        <w:rPr>
          <w:rFonts w:cs="Arial"/>
          <w:bCs/>
          <w:szCs w:val="24"/>
        </w:rPr>
        <w:t xml:space="preserve">LCIV Global Bond Fund - </w:t>
      </w:r>
      <w:r w:rsidRPr="00021DCF">
        <w:rPr>
          <w:rFonts w:cs="Arial"/>
          <w:szCs w:val="24"/>
        </w:rPr>
        <w:t>the audit, carried out by PWC, and, where exceptions have been identified, that there has been a satisfactory management response.</w:t>
      </w:r>
    </w:p>
    <w:p w14:paraId="3469E0D9" w14:textId="77777777" w:rsidR="00213BE7" w:rsidRDefault="00213BE7" w:rsidP="00213BE7">
      <w:pPr>
        <w:pStyle w:val="Heading2"/>
      </w:pPr>
      <w:r w:rsidRPr="00377A07">
        <w:t>Legal Implic</w:t>
      </w:r>
      <w:r>
        <w:t>ations</w:t>
      </w:r>
    </w:p>
    <w:p w14:paraId="1C412F5C" w14:textId="2F76ECB1" w:rsidR="003D2FFE" w:rsidRPr="00421A4C" w:rsidRDefault="00014FD8" w:rsidP="00014FD8">
      <w:pPr>
        <w:pStyle w:val="Heading4"/>
        <w:keepNext w:val="0"/>
        <w:numPr>
          <w:ilvl w:val="0"/>
          <w:numId w:val="16"/>
        </w:numPr>
        <w:spacing w:before="360"/>
        <w:rPr>
          <w:color w:val="FF0000"/>
        </w:rPr>
      </w:pPr>
      <w:r w:rsidRPr="00014FD8">
        <w:rPr>
          <w:b w:val="0"/>
          <w:sz w:val="24"/>
          <w:szCs w:val="24"/>
        </w:rPr>
        <w:t xml:space="preserve">There are no direct legal implications arising from this report. </w:t>
      </w:r>
    </w:p>
    <w:p w14:paraId="41BB405D" w14:textId="77777777" w:rsidR="002A2389" w:rsidRDefault="002A2389" w:rsidP="003D2FFE">
      <w:pPr>
        <w:pStyle w:val="Heading2"/>
        <w:spacing w:after="240"/>
      </w:pPr>
      <w:r>
        <w:t>Financial Implications</w:t>
      </w:r>
    </w:p>
    <w:p w14:paraId="790B5490" w14:textId="0F92F633" w:rsidR="00D15CAD" w:rsidRPr="00D15CAD" w:rsidRDefault="00D15CAD" w:rsidP="00D15CAD">
      <w:pPr>
        <w:pStyle w:val="ListParagraph"/>
        <w:numPr>
          <w:ilvl w:val="0"/>
          <w:numId w:val="16"/>
        </w:numPr>
        <w:rPr>
          <w:sz w:val="24"/>
          <w:szCs w:val="24"/>
        </w:rPr>
      </w:pPr>
      <w:r w:rsidRPr="00D15CAD">
        <w:rPr>
          <w:sz w:val="24"/>
          <w:szCs w:val="24"/>
          <w:lang w:val="en-US"/>
        </w:rPr>
        <w:t>Whilst the performance and effective controls of the fund managers is of paramount importance in the performance of the Pension Fund, there are no financial implications arising from this report</w:t>
      </w:r>
      <w:r>
        <w:rPr>
          <w:sz w:val="24"/>
          <w:szCs w:val="24"/>
          <w:lang w:val="en-US"/>
        </w:rPr>
        <w:t>.</w:t>
      </w:r>
    </w:p>
    <w:p w14:paraId="5ACE80EE" w14:textId="77777777" w:rsidR="00C32DAE" w:rsidRPr="003D2FFE" w:rsidRDefault="00C32DAE" w:rsidP="003D2FFE">
      <w:pPr>
        <w:pStyle w:val="Heading2"/>
        <w:spacing w:after="240"/>
      </w:pPr>
      <w:r>
        <w:t>Risk Management Implications</w:t>
      </w:r>
    </w:p>
    <w:p w14:paraId="6FCE47A5" w14:textId="616DC92F" w:rsidR="00D15CAD" w:rsidRPr="00D15CAD" w:rsidRDefault="00D15CAD" w:rsidP="00D15CAD">
      <w:pPr>
        <w:pStyle w:val="ListParagraph"/>
        <w:numPr>
          <w:ilvl w:val="0"/>
          <w:numId w:val="16"/>
        </w:numPr>
        <w:rPr>
          <w:sz w:val="24"/>
          <w:szCs w:val="24"/>
        </w:rPr>
      </w:pPr>
      <w:r w:rsidRPr="00D15CAD">
        <w:rPr>
          <w:sz w:val="24"/>
          <w:szCs w:val="24"/>
        </w:rPr>
        <w:t xml:space="preserve">The risks arising from investment performance </w:t>
      </w:r>
      <w:r>
        <w:rPr>
          <w:sz w:val="24"/>
          <w:szCs w:val="24"/>
        </w:rPr>
        <w:t xml:space="preserve">and managers’ operational arrangements </w:t>
      </w:r>
      <w:r w:rsidRPr="00D15CAD">
        <w:rPr>
          <w:sz w:val="24"/>
          <w:szCs w:val="24"/>
        </w:rPr>
        <w:t>are included in the Pension Fund risk register</w:t>
      </w:r>
      <w:r>
        <w:rPr>
          <w:sz w:val="24"/>
          <w:szCs w:val="24"/>
        </w:rPr>
        <w:t xml:space="preserve"> which is reviewed elsewhere on this agenda.</w:t>
      </w: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76DCB596" w14:textId="41DB9E42" w:rsidR="00D15CAD" w:rsidRPr="00D15CAD" w:rsidRDefault="00FD31A0" w:rsidP="00D15CAD">
      <w:pPr>
        <w:pStyle w:val="ListParagraph"/>
        <w:numPr>
          <w:ilvl w:val="0"/>
          <w:numId w:val="16"/>
        </w:numPr>
        <w:rPr>
          <w:color w:val="0000FF"/>
          <w:sz w:val="24"/>
          <w:szCs w:val="24"/>
        </w:rPr>
      </w:pPr>
      <w:r w:rsidRPr="00D15CAD">
        <w:rPr>
          <w:sz w:val="24"/>
          <w:szCs w:val="24"/>
        </w:rPr>
        <w:t>Was an Equality Impact Assessment carried out?  No</w:t>
      </w:r>
    </w:p>
    <w:p w14:paraId="215318BA" w14:textId="77777777" w:rsidR="00D15CAD" w:rsidRPr="00D15CAD" w:rsidRDefault="00D15CAD" w:rsidP="00D15CAD">
      <w:pPr>
        <w:pStyle w:val="ListParagraph"/>
        <w:ind w:left="390"/>
        <w:rPr>
          <w:color w:val="0000FF"/>
          <w:sz w:val="24"/>
          <w:szCs w:val="24"/>
        </w:rPr>
      </w:pPr>
    </w:p>
    <w:p w14:paraId="21A65355" w14:textId="3B88578A" w:rsidR="00A16271" w:rsidRDefault="00D15CAD" w:rsidP="00A16271">
      <w:pPr>
        <w:pStyle w:val="ListParagraph"/>
        <w:numPr>
          <w:ilvl w:val="0"/>
          <w:numId w:val="16"/>
        </w:numPr>
        <w:rPr>
          <w:color w:val="0000FF"/>
        </w:rPr>
      </w:pPr>
      <w:r w:rsidRPr="00D15CAD">
        <w:rPr>
          <w:sz w:val="24"/>
          <w:szCs w:val="24"/>
        </w:rPr>
        <w:t>There are no direct equalities implications arising from this report.</w:t>
      </w:r>
      <w:r w:rsidR="00A16271" w:rsidRPr="00D15CAD">
        <w:rPr>
          <w:color w:val="0000FF"/>
        </w:rPr>
        <w:t xml:space="preserve">  </w:t>
      </w:r>
    </w:p>
    <w:p w14:paraId="40A01165" w14:textId="77777777" w:rsidR="009874A4" w:rsidRPr="009874A4" w:rsidRDefault="009874A4" w:rsidP="009874A4">
      <w:pPr>
        <w:pStyle w:val="ListParagraph"/>
        <w:rPr>
          <w:color w:val="0000FF"/>
        </w:rPr>
      </w:pPr>
    </w:p>
    <w:p w14:paraId="78932930" w14:textId="6F9A20F1" w:rsidR="009874A4" w:rsidRDefault="009874A4">
      <w:pPr>
        <w:rPr>
          <w:rFonts w:eastAsia="Calibri" w:cs="Arial"/>
          <w:color w:val="0000FF"/>
          <w:sz w:val="22"/>
          <w:szCs w:val="22"/>
          <w:lang w:eastAsia="en-GB"/>
        </w:rPr>
      </w:pPr>
      <w:r>
        <w:rPr>
          <w:color w:val="0000FF"/>
        </w:rPr>
        <w:br w:type="page"/>
      </w:r>
    </w:p>
    <w:p w14:paraId="06EEB8D0" w14:textId="77777777" w:rsidR="009874A4" w:rsidRPr="00D15CAD" w:rsidRDefault="009874A4" w:rsidP="009874A4">
      <w:pPr>
        <w:pStyle w:val="ListParagraph"/>
        <w:ind w:left="390"/>
        <w:rPr>
          <w:color w:val="0000FF"/>
        </w:rPr>
      </w:pPr>
    </w:p>
    <w:p w14:paraId="1EF4F8CB" w14:textId="77777777" w:rsidR="004B4A47" w:rsidRPr="00CD57D8" w:rsidRDefault="00AC0AAB" w:rsidP="00912904">
      <w:pPr>
        <w:pStyle w:val="Heading2"/>
        <w:spacing w:after="240"/>
      </w:pPr>
      <w:r>
        <w:t xml:space="preserve">Council </w:t>
      </w:r>
      <w:r w:rsidR="004B4A47" w:rsidRPr="00CD57D8">
        <w:t>Priorities</w:t>
      </w:r>
    </w:p>
    <w:p w14:paraId="36F94C34" w14:textId="52C32B12" w:rsidR="00EF2F91" w:rsidRPr="00D15CAD" w:rsidRDefault="00D15CAD" w:rsidP="00D15CAD">
      <w:pPr>
        <w:pStyle w:val="ListParagraph"/>
        <w:numPr>
          <w:ilvl w:val="0"/>
          <w:numId w:val="16"/>
        </w:numPr>
        <w:rPr>
          <w:szCs w:val="24"/>
          <w:lang w:val="en-US"/>
        </w:rPr>
      </w:pPr>
      <w:r w:rsidRPr="00D15CAD">
        <w:rPr>
          <w:sz w:val="24"/>
          <w:szCs w:val="24"/>
          <w:lang w:val="en-US"/>
        </w:rPr>
        <w:t>Whilst the financial health of the Pension Fund directly affects the level of employer contribution which, in turn, affects the resources available for the Council’s priorities there are no impacts arising directly from this report.</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1CE9FE99" w:rsidR="00912904" w:rsidRPr="00A66326" w:rsidRDefault="00912904" w:rsidP="00912904">
      <w:pPr>
        <w:rPr>
          <w:sz w:val="28"/>
        </w:rPr>
      </w:pPr>
      <w:r w:rsidRPr="00A66326">
        <w:rPr>
          <w:b/>
          <w:sz w:val="28"/>
        </w:rPr>
        <w:t xml:space="preserve">Statutory Officer:  </w:t>
      </w:r>
      <w:r w:rsidR="009874A4">
        <w:rPr>
          <w:b/>
          <w:sz w:val="28"/>
        </w:rPr>
        <w:t>Dawn Calvert</w:t>
      </w:r>
    </w:p>
    <w:p w14:paraId="57640BD9" w14:textId="375E7989" w:rsidR="00912904" w:rsidRPr="00A66326" w:rsidRDefault="00912904" w:rsidP="00912904">
      <w:r w:rsidRPr="00A66326">
        <w:t>Signed by the Chief Financial Officer</w:t>
      </w:r>
    </w:p>
    <w:p w14:paraId="650DA37B" w14:textId="77777777" w:rsidR="00912904" w:rsidRPr="00A66326" w:rsidRDefault="00912904" w:rsidP="00912904">
      <w:pPr>
        <w:rPr>
          <w:sz w:val="28"/>
        </w:rPr>
      </w:pPr>
    </w:p>
    <w:p w14:paraId="5745A2E3" w14:textId="37B41D0C" w:rsidR="00912904" w:rsidRPr="00A66326" w:rsidRDefault="00912904" w:rsidP="00912904">
      <w:pPr>
        <w:spacing w:after="480"/>
        <w:rPr>
          <w:sz w:val="28"/>
        </w:rPr>
      </w:pPr>
      <w:r w:rsidRPr="00A66326">
        <w:rPr>
          <w:b/>
          <w:sz w:val="28"/>
        </w:rPr>
        <w:t xml:space="preserve">Date:  </w:t>
      </w:r>
      <w:r w:rsidR="009874A4">
        <w:rPr>
          <w:b/>
          <w:sz w:val="28"/>
        </w:rPr>
        <w:t>08/06/2021</w:t>
      </w:r>
    </w:p>
    <w:p w14:paraId="2586CC50" w14:textId="1300E2F0" w:rsidR="00912904" w:rsidRPr="00A66326" w:rsidRDefault="00912904" w:rsidP="00912904">
      <w:pPr>
        <w:rPr>
          <w:sz w:val="28"/>
        </w:rPr>
      </w:pPr>
      <w:r w:rsidRPr="00A66326">
        <w:rPr>
          <w:b/>
          <w:sz w:val="28"/>
        </w:rPr>
        <w:t xml:space="preserve">Statutory Officer:  </w:t>
      </w:r>
      <w:r w:rsidR="0025625D">
        <w:rPr>
          <w:b/>
          <w:sz w:val="28"/>
        </w:rPr>
        <w:t>Caroline Eccles</w:t>
      </w:r>
    </w:p>
    <w:p w14:paraId="3F58D77A" w14:textId="2C87F263" w:rsidR="00912904" w:rsidRPr="00A66326" w:rsidRDefault="00912904" w:rsidP="00912904">
      <w:r w:rsidRPr="00A66326">
        <w:t>Signed on behalf of the Monitoring Officer</w:t>
      </w:r>
    </w:p>
    <w:p w14:paraId="52AD6B43" w14:textId="77777777" w:rsidR="00912904" w:rsidRPr="00A66326" w:rsidRDefault="00912904" w:rsidP="00912904">
      <w:pPr>
        <w:rPr>
          <w:sz w:val="28"/>
        </w:rPr>
      </w:pPr>
    </w:p>
    <w:p w14:paraId="61F8C7E6" w14:textId="17EAFBA0" w:rsidR="00912904" w:rsidRPr="003313EA" w:rsidRDefault="00912904" w:rsidP="00912904">
      <w:pPr>
        <w:spacing w:after="480"/>
        <w:rPr>
          <w:sz w:val="28"/>
        </w:rPr>
      </w:pPr>
      <w:r w:rsidRPr="00A66326">
        <w:rPr>
          <w:b/>
          <w:sz w:val="28"/>
        </w:rPr>
        <w:t xml:space="preserve">Date:  </w:t>
      </w:r>
      <w:r w:rsidR="0025625D">
        <w:rPr>
          <w:b/>
          <w:sz w:val="28"/>
        </w:rPr>
        <w:t>10/06/2021</w:t>
      </w:r>
    </w:p>
    <w:p w14:paraId="2019A53D" w14:textId="32587A32" w:rsidR="00912904" w:rsidRPr="00A66326" w:rsidRDefault="004A4A1D" w:rsidP="00912904">
      <w:pPr>
        <w:rPr>
          <w:sz w:val="28"/>
        </w:rPr>
      </w:pPr>
      <w:r>
        <w:rPr>
          <w:b/>
          <w:sz w:val="28"/>
        </w:rPr>
        <w:t>Chief</w:t>
      </w:r>
      <w:r w:rsidR="00912904" w:rsidRPr="00A66326">
        <w:rPr>
          <w:b/>
          <w:sz w:val="28"/>
        </w:rPr>
        <w:t xml:space="preserve"> Officer:  </w:t>
      </w:r>
      <w:r w:rsidR="009874A4">
        <w:rPr>
          <w:b/>
          <w:sz w:val="28"/>
        </w:rPr>
        <w:t>Dawn Calvert</w:t>
      </w:r>
    </w:p>
    <w:p w14:paraId="12E4D11B" w14:textId="0B17FFE6" w:rsidR="00912904" w:rsidRPr="00A66326" w:rsidRDefault="00365D29" w:rsidP="00912904">
      <w:r>
        <w:t>Signed</w:t>
      </w:r>
      <w:r w:rsidR="00912904" w:rsidRPr="00A66326">
        <w:t xml:space="preserve"> </w:t>
      </w:r>
      <w:r w:rsidR="009874A4">
        <w:t>on behalf of</w:t>
      </w:r>
      <w:r w:rsidR="00912904" w:rsidRPr="00A66326">
        <w:t xml:space="preserve"> the Corporate Director</w:t>
      </w:r>
    </w:p>
    <w:p w14:paraId="6F36B845" w14:textId="77777777" w:rsidR="00912904" w:rsidRPr="00A66326" w:rsidRDefault="00912904" w:rsidP="00912904">
      <w:pPr>
        <w:rPr>
          <w:sz w:val="28"/>
        </w:rPr>
      </w:pPr>
    </w:p>
    <w:p w14:paraId="21482980" w14:textId="035E11E2" w:rsidR="00912904" w:rsidRPr="00A66326" w:rsidRDefault="00912904" w:rsidP="00912904">
      <w:pPr>
        <w:spacing w:after="480"/>
        <w:rPr>
          <w:sz w:val="28"/>
        </w:rPr>
      </w:pPr>
      <w:r w:rsidRPr="00A66326">
        <w:rPr>
          <w:b/>
          <w:sz w:val="28"/>
        </w:rPr>
        <w:t xml:space="preserve">Date:  </w:t>
      </w:r>
      <w:r w:rsidR="009874A4">
        <w:rPr>
          <w:b/>
          <w:sz w:val="28"/>
        </w:rPr>
        <w:t>0</w:t>
      </w:r>
      <w:r w:rsidR="00836909">
        <w:rPr>
          <w:b/>
          <w:sz w:val="28"/>
        </w:rPr>
        <w:t>8</w:t>
      </w:r>
      <w:r w:rsidR="009874A4">
        <w:rPr>
          <w:b/>
          <w:sz w:val="28"/>
        </w:rPr>
        <w:t>/06/2021</w:t>
      </w:r>
    </w:p>
    <w:p w14:paraId="686CE5D8" w14:textId="77777777" w:rsidR="00912904" w:rsidRPr="00435B5D" w:rsidRDefault="00912904" w:rsidP="00912904">
      <w:pPr>
        <w:pStyle w:val="Heading2"/>
        <w:spacing w:after="240"/>
      </w:pPr>
      <w:r>
        <w:t>Mandatory Checks</w:t>
      </w:r>
    </w:p>
    <w:p w14:paraId="34BA8136" w14:textId="0055A7A0" w:rsidR="00912904" w:rsidRPr="00E90AFF" w:rsidRDefault="00912904" w:rsidP="00E90AFF">
      <w:pPr>
        <w:pStyle w:val="Heading3"/>
        <w:ind w:left="0" w:firstLine="0"/>
        <w:rPr>
          <w:sz w:val="28"/>
        </w:rPr>
      </w:pPr>
      <w:r w:rsidRPr="00E90AFF">
        <w:rPr>
          <w:sz w:val="28"/>
        </w:rPr>
        <w:t xml:space="preserve">Ward Councillors notified:  </w:t>
      </w:r>
      <w:r w:rsidR="00D15CAD">
        <w:rPr>
          <w:sz w:val="28"/>
        </w:rPr>
        <w:t>Not applicable</w:t>
      </w:r>
    </w:p>
    <w:p w14:paraId="71FBC41D" w14:textId="710C56BA" w:rsidR="00912904" w:rsidRPr="003313EA" w:rsidRDefault="00912904" w:rsidP="00912904">
      <w:pPr>
        <w:pStyle w:val="Infotext"/>
        <w:rPr>
          <w:i/>
          <w:color w:val="FF0000"/>
          <w:sz w:val="24"/>
          <w:szCs w:val="24"/>
        </w:rPr>
      </w:pPr>
      <w:r w:rsidRPr="003313EA">
        <w:rPr>
          <w:i/>
          <w:color w:val="FF0000"/>
          <w:sz w:val="24"/>
          <w:szCs w:val="24"/>
        </w:rPr>
        <w:t xml:space="preserve">. </w:t>
      </w:r>
    </w:p>
    <w:p w14:paraId="629F8205" w14:textId="77777777" w:rsidR="002A2389" w:rsidRDefault="002A2389" w:rsidP="00912904">
      <w:pPr>
        <w:pStyle w:val="Heading2"/>
        <w:keepNext/>
        <w:spacing w:after="240"/>
      </w:pPr>
      <w:r>
        <w:t>Section 4 - Contact Details and Background Papers</w:t>
      </w:r>
    </w:p>
    <w:p w14:paraId="30AF3490" w14:textId="77777777" w:rsidR="00D15CAD" w:rsidRDefault="002A2389" w:rsidP="00D15CAD">
      <w:pPr>
        <w:pStyle w:val="Infotext"/>
        <w:rPr>
          <w:sz w:val="24"/>
          <w:szCs w:val="24"/>
        </w:rPr>
      </w:pPr>
      <w:r w:rsidRPr="00D914D2">
        <w:rPr>
          <w:b/>
        </w:rPr>
        <w:t>Contact:</w:t>
      </w:r>
      <w:r>
        <w:t xml:space="preserve">  </w:t>
      </w:r>
      <w:r w:rsidR="00D15CAD" w:rsidRPr="00A175BD">
        <w:rPr>
          <w:sz w:val="24"/>
          <w:szCs w:val="24"/>
        </w:rPr>
        <w:t xml:space="preserve">Jeremy Randall – Interim Pensions </w:t>
      </w:r>
      <w:r w:rsidR="00D15CAD">
        <w:rPr>
          <w:sz w:val="24"/>
          <w:szCs w:val="24"/>
        </w:rPr>
        <w:t>Manager</w:t>
      </w:r>
    </w:p>
    <w:p w14:paraId="4C8035D4" w14:textId="77777777" w:rsidR="00D15CAD" w:rsidRDefault="00D15CAD" w:rsidP="00D15CAD">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020B8FCF" w14:textId="77777777" w:rsidR="00D15CAD" w:rsidRDefault="00D15CAD" w:rsidP="00D15CAD">
      <w:pPr>
        <w:pStyle w:val="Infotext"/>
        <w:rPr>
          <w:rStyle w:val="Hyperlink"/>
          <w:color w:val="auto"/>
          <w:sz w:val="24"/>
          <w:szCs w:val="24"/>
          <w:u w:val="none"/>
        </w:rPr>
      </w:pPr>
      <w:r w:rsidRPr="00DD6270">
        <w:rPr>
          <w:rStyle w:val="Hyperlink"/>
          <w:color w:val="auto"/>
          <w:sz w:val="24"/>
          <w:szCs w:val="24"/>
          <w:u w:val="none"/>
        </w:rPr>
        <w:t>Telephone 020 8</w:t>
      </w:r>
      <w:r>
        <w:rPr>
          <w:rStyle w:val="Hyperlink"/>
          <w:color w:val="auto"/>
          <w:sz w:val="24"/>
          <w:szCs w:val="24"/>
          <w:u w:val="none"/>
        </w:rPr>
        <w:t>736 6552</w:t>
      </w:r>
    </w:p>
    <w:p w14:paraId="49303DDA" w14:textId="77777777" w:rsidR="00D15CAD" w:rsidRDefault="00D15CAD" w:rsidP="00D15CAD">
      <w:pPr>
        <w:pStyle w:val="Infotext"/>
        <w:rPr>
          <w:rStyle w:val="Hyperlink"/>
          <w:color w:val="auto"/>
          <w:sz w:val="24"/>
          <w:szCs w:val="24"/>
          <w:u w:val="none"/>
        </w:rPr>
      </w:pPr>
    </w:p>
    <w:p w14:paraId="695B009D" w14:textId="6E7E5D90" w:rsidR="002A2389" w:rsidRDefault="002A2389" w:rsidP="00D15CAD">
      <w:pPr>
        <w:pStyle w:val="Infotext"/>
      </w:pPr>
      <w:r w:rsidRPr="00D914D2">
        <w:rPr>
          <w:b/>
        </w:rPr>
        <w:t>Background Papers</w:t>
      </w:r>
      <w:r>
        <w:t xml:space="preserve">:  </w:t>
      </w:r>
      <w:r w:rsidR="00D15CAD">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35FF0"/>
    <w:multiLevelType w:val="hybridMultilevel"/>
    <w:tmpl w:val="85520B56"/>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D335A"/>
    <w:multiLevelType w:val="hybridMultilevel"/>
    <w:tmpl w:val="C1D8F5DA"/>
    <w:lvl w:ilvl="0" w:tplc="F6CA4356">
      <w:start w:val="1"/>
      <w:numFmt w:val="decimal"/>
      <w:lvlText w:val="%1."/>
      <w:lvlJc w:val="left"/>
      <w:pPr>
        <w:tabs>
          <w:tab w:val="num" w:pos="390"/>
        </w:tabs>
        <w:ind w:left="390" w:hanging="390"/>
      </w:pPr>
      <w:rPr>
        <w:rFonts w:ascii="Arial" w:hAnsi="Arial" w:cs="Arial" w:hint="default"/>
        <w:b w:val="0"/>
        <w:color w:val="auto"/>
        <w:sz w:val="24"/>
        <w:szCs w:val="24"/>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0B4210"/>
    <w:multiLevelType w:val="hybridMultilevel"/>
    <w:tmpl w:val="982AF1CE"/>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1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4"/>
  </w:num>
  <w:num w:numId="10">
    <w:abstractNumId w:val="13"/>
  </w:num>
  <w:num w:numId="11">
    <w:abstractNumId w:val="17"/>
  </w:num>
  <w:num w:numId="12">
    <w:abstractNumId w:val="12"/>
  </w:num>
  <w:num w:numId="13">
    <w:abstractNumId w:val="3"/>
  </w:num>
  <w:num w:numId="14">
    <w:abstractNumId w:val="6"/>
  </w:num>
  <w:num w:numId="15">
    <w:abstractNumId w:val="10"/>
  </w:num>
  <w:num w:numId="16">
    <w:abstractNumId w:val="7"/>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4FD8"/>
    <w:rsid w:val="00021DCF"/>
    <w:rsid w:val="00023F4C"/>
    <w:rsid w:val="00057F10"/>
    <w:rsid w:val="000633A2"/>
    <w:rsid w:val="00071EB4"/>
    <w:rsid w:val="00077298"/>
    <w:rsid w:val="000A58A1"/>
    <w:rsid w:val="000A6659"/>
    <w:rsid w:val="000B0E6F"/>
    <w:rsid w:val="000B6DBB"/>
    <w:rsid w:val="000D2BF2"/>
    <w:rsid w:val="000D5870"/>
    <w:rsid w:val="000F65C0"/>
    <w:rsid w:val="00166023"/>
    <w:rsid w:val="001939BA"/>
    <w:rsid w:val="001A6EB0"/>
    <w:rsid w:val="001B441D"/>
    <w:rsid w:val="001B5D18"/>
    <w:rsid w:val="001C5225"/>
    <w:rsid w:val="001E0219"/>
    <w:rsid w:val="00213BE7"/>
    <w:rsid w:val="0022043F"/>
    <w:rsid w:val="00231A1D"/>
    <w:rsid w:val="00244120"/>
    <w:rsid w:val="0025625D"/>
    <w:rsid w:val="00293F9F"/>
    <w:rsid w:val="002A2389"/>
    <w:rsid w:val="002C08E2"/>
    <w:rsid w:val="002C1794"/>
    <w:rsid w:val="002D2FC5"/>
    <w:rsid w:val="002E6637"/>
    <w:rsid w:val="002E77E3"/>
    <w:rsid w:val="00332947"/>
    <w:rsid w:val="00333EB4"/>
    <w:rsid w:val="00345915"/>
    <w:rsid w:val="00365D29"/>
    <w:rsid w:val="00374F22"/>
    <w:rsid w:val="00377A07"/>
    <w:rsid w:val="003D2FFE"/>
    <w:rsid w:val="003D5F0A"/>
    <w:rsid w:val="00400032"/>
    <w:rsid w:val="0042394B"/>
    <w:rsid w:val="00473B08"/>
    <w:rsid w:val="00474B5F"/>
    <w:rsid w:val="004A3CE6"/>
    <w:rsid w:val="004A4A1D"/>
    <w:rsid w:val="004B2C9D"/>
    <w:rsid w:val="004B4A47"/>
    <w:rsid w:val="004E667D"/>
    <w:rsid w:val="004E6AF9"/>
    <w:rsid w:val="005031DF"/>
    <w:rsid w:val="00597314"/>
    <w:rsid w:val="005A61AF"/>
    <w:rsid w:val="005D0886"/>
    <w:rsid w:val="005E384D"/>
    <w:rsid w:val="005F2181"/>
    <w:rsid w:val="005F724B"/>
    <w:rsid w:val="00606705"/>
    <w:rsid w:val="00625DFF"/>
    <w:rsid w:val="0063072B"/>
    <w:rsid w:val="00662891"/>
    <w:rsid w:val="006628B7"/>
    <w:rsid w:val="00675FCB"/>
    <w:rsid w:val="006A0B87"/>
    <w:rsid w:val="006B3942"/>
    <w:rsid w:val="006C3914"/>
    <w:rsid w:val="006C4D4C"/>
    <w:rsid w:val="006D3648"/>
    <w:rsid w:val="00717E8A"/>
    <w:rsid w:val="007272B0"/>
    <w:rsid w:val="0074184E"/>
    <w:rsid w:val="00743829"/>
    <w:rsid w:val="00755F8D"/>
    <w:rsid w:val="007855AE"/>
    <w:rsid w:val="00796503"/>
    <w:rsid w:val="007B0CB6"/>
    <w:rsid w:val="007D2BDA"/>
    <w:rsid w:val="007D56C8"/>
    <w:rsid w:val="007E3934"/>
    <w:rsid w:val="007E7303"/>
    <w:rsid w:val="008212A0"/>
    <w:rsid w:val="00836909"/>
    <w:rsid w:val="00837F53"/>
    <w:rsid w:val="00862DDC"/>
    <w:rsid w:val="008D1750"/>
    <w:rsid w:val="008D7800"/>
    <w:rsid w:val="008E2910"/>
    <w:rsid w:val="008E4913"/>
    <w:rsid w:val="00900464"/>
    <w:rsid w:val="0090100E"/>
    <w:rsid w:val="00912904"/>
    <w:rsid w:val="0093767E"/>
    <w:rsid w:val="00972A02"/>
    <w:rsid w:val="009874A4"/>
    <w:rsid w:val="0099517C"/>
    <w:rsid w:val="009A0937"/>
    <w:rsid w:val="009B2ECD"/>
    <w:rsid w:val="009B7914"/>
    <w:rsid w:val="009F430B"/>
    <w:rsid w:val="00A160B2"/>
    <w:rsid w:val="00A16271"/>
    <w:rsid w:val="00A566E7"/>
    <w:rsid w:val="00A628C3"/>
    <w:rsid w:val="00A630BF"/>
    <w:rsid w:val="00A73B25"/>
    <w:rsid w:val="00A940D3"/>
    <w:rsid w:val="00A96FCA"/>
    <w:rsid w:val="00AA4BE8"/>
    <w:rsid w:val="00AC0AAB"/>
    <w:rsid w:val="00AC7BA9"/>
    <w:rsid w:val="00B0075D"/>
    <w:rsid w:val="00B0425E"/>
    <w:rsid w:val="00B84A87"/>
    <w:rsid w:val="00B900E2"/>
    <w:rsid w:val="00B9118E"/>
    <w:rsid w:val="00BD6115"/>
    <w:rsid w:val="00BD684A"/>
    <w:rsid w:val="00C32DAE"/>
    <w:rsid w:val="00C40E24"/>
    <w:rsid w:val="00C61B80"/>
    <w:rsid w:val="00C92D9A"/>
    <w:rsid w:val="00C96EF5"/>
    <w:rsid w:val="00CF672F"/>
    <w:rsid w:val="00D15CAD"/>
    <w:rsid w:val="00D25064"/>
    <w:rsid w:val="00D32B51"/>
    <w:rsid w:val="00D34668"/>
    <w:rsid w:val="00D3740E"/>
    <w:rsid w:val="00D40335"/>
    <w:rsid w:val="00D6190B"/>
    <w:rsid w:val="00D7696B"/>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C70CD"/>
    <w:rsid w:val="00EF2F91"/>
    <w:rsid w:val="00F33EE3"/>
    <w:rsid w:val="00F4213B"/>
    <w:rsid w:val="00F806B8"/>
    <w:rsid w:val="00F849ED"/>
    <w:rsid w:val="00F92398"/>
    <w:rsid w:val="00FC5B57"/>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1246</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Jeremy Randall</cp:lastModifiedBy>
  <cp:revision>8</cp:revision>
  <cp:lastPrinted>2007-07-12T09:53:00Z</cp:lastPrinted>
  <dcterms:created xsi:type="dcterms:W3CDTF">2021-06-03T13:54:00Z</dcterms:created>
  <dcterms:modified xsi:type="dcterms:W3CDTF">2021-06-10T15:40:00Z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